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EA4458">
      <w:pPr>
        <w:overflowPunct w:val="0"/>
        <w:spacing w:line="360" w:lineRule="auto"/>
        <w:ind w:firstLine="1446" w:firstLineChars="200"/>
        <w:rPr>
          <w:rFonts w:ascii="宋体" w:hAnsi="宋体"/>
          <w:b/>
          <w:color w:val="auto"/>
          <w:sz w:val="72"/>
          <w:highlight w:val="none"/>
        </w:rPr>
      </w:pPr>
    </w:p>
    <w:p w14:paraId="72FB07C4">
      <w:pPr>
        <w:overflowPunct w:val="0"/>
        <w:spacing w:line="360" w:lineRule="auto"/>
        <w:ind w:firstLine="2168" w:firstLineChars="300"/>
        <w:rPr>
          <w:rFonts w:ascii="宋体" w:hAnsi="宋体"/>
          <w:b/>
          <w:color w:val="auto"/>
          <w:sz w:val="72"/>
          <w:highlight w:val="none"/>
        </w:rPr>
      </w:pPr>
      <w:r>
        <w:rPr>
          <w:rFonts w:hint="eastAsia" w:ascii="宋体" w:hAnsi="宋体"/>
          <w:b/>
          <w:color w:val="auto"/>
          <w:sz w:val="72"/>
          <w:highlight w:val="none"/>
        </w:rPr>
        <w:t>太仓市政府采购</w:t>
      </w:r>
    </w:p>
    <w:p w14:paraId="0969EE33">
      <w:pPr>
        <w:overflowPunct w:val="0"/>
        <w:spacing w:line="360" w:lineRule="auto"/>
        <w:jc w:val="center"/>
        <w:rPr>
          <w:rFonts w:ascii="宋体" w:hAnsi="宋体"/>
          <w:b/>
          <w:color w:val="auto"/>
          <w:sz w:val="72"/>
          <w:highlight w:val="none"/>
        </w:rPr>
      </w:pPr>
    </w:p>
    <w:p w14:paraId="5D5061CA">
      <w:pPr>
        <w:overflowPunct w:val="0"/>
        <w:spacing w:line="360" w:lineRule="auto"/>
        <w:jc w:val="center"/>
        <w:rPr>
          <w:rFonts w:ascii="宋体" w:hAnsi="宋体"/>
          <w:b/>
          <w:color w:val="auto"/>
          <w:sz w:val="72"/>
          <w:highlight w:val="none"/>
        </w:rPr>
      </w:pPr>
      <w:r>
        <w:rPr>
          <w:rFonts w:hint="eastAsia" w:ascii="宋体" w:hAnsi="宋体"/>
          <w:b/>
          <w:color w:val="auto"/>
          <w:sz w:val="72"/>
          <w:highlight w:val="none"/>
        </w:rPr>
        <w:t xml:space="preserve"> 招 标 文 件</w:t>
      </w:r>
    </w:p>
    <w:p w14:paraId="580468A2">
      <w:pPr>
        <w:overflowPunct w:val="0"/>
        <w:spacing w:line="360" w:lineRule="auto"/>
        <w:jc w:val="center"/>
        <w:rPr>
          <w:rFonts w:ascii="宋体" w:hAnsi="宋体"/>
          <w:color w:val="auto"/>
          <w:highlight w:val="none"/>
        </w:rPr>
      </w:pPr>
    </w:p>
    <w:p w14:paraId="29B15E97">
      <w:pPr>
        <w:tabs>
          <w:tab w:val="left" w:pos="3570"/>
        </w:tabs>
        <w:spacing w:line="360" w:lineRule="auto"/>
        <w:ind w:firstLine="630"/>
        <w:rPr>
          <w:rFonts w:ascii="宋体" w:hAnsi="宋体"/>
          <w:color w:val="auto"/>
          <w:highlight w:val="none"/>
        </w:rPr>
      </w:pPr>
      <w:r>
        <w:rPr>
          <w:rFonts w:ascii="宋体" w:hAnsi="宋体"/>
          <w:color w:val="auto"/>
          <w:highlight w:val="none"/>
        </w:rPr>
        <w:tab/>
      </w:r>
    </w:p>
    <w:p w14:paraId="6B853B64">
      <w:pPr>
        <w:spacing w:line="360" w:lineRule="auto"/>
        <w:jc w:val="right"/>
        <w:rPr>
          <w:rFonts w:ascii="宋体" w:hAnsi="宋体"/>
          <w:color w:val="auto"/>
          <w:sz w:val="32"/>
          <w:highlight w:val="none"/>
        </w:rPr>
      </w:pPr>
    </w:p>
    <w:p w14:paraId="2DB3223E">
      <w:pPr>
        <w:overflowPunct w:val="0"/>
        <w:snapToGrid w:val="0"/>
        <w:spacing w:line="360" w:lineRule="auto"/>
        <w:jc w:val="left"/>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招标编号</w:t>
      </w:r>
      <w:r>
        <w:rPr>
          <w:rFonts w:hint="eastAsia" w:ascii="宋体" w:hAnsi="宋体"/>
          <w:b/>
          <w:color w:val="auto"/>
          <w:sz w:val="30"/>
          <w:szCs w:val="30"/>
          <w:highlight w:val="none"/>
        </w:rPr>
        <w:t>：</w:t>
      </w:r>
      <w:r>
        <w:rPr>
          <w:rFonts w:hint="eastAsia" w:ascii="宋体" w:hAnsi="宋体"/>
          <w:b/>
          <w:color w:val="auto"/>
          <w:sz w:val="30"/>
          <w:szCs w:val="30"/>
          <w:highlight w:val="none"/>
          <w:lang w:eastAsia="zh-CN"/>
        </w:rPr>
        <w:t>JSZC-320585-JSQY-G2025-0015</w:t>
      </w:r>
    </w:p>
    <w:p w14:paraId="6A9B91B1">
      <w:pPr>
        <w:overflowPunct w:val="0"/>
        <w:snapToGrid w:val="0"/>
        <w:spacing w:line="360" w:lineRule="auto"/>
        <w:jc w:val="left"/>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招标内容：</w:t>
      </w:r>
      <w:r>
        <w:rPr>
          <w:rFonts w:hint="eastAsia" w:ascii="宋体" w:hAnsi="宋体"/>
          <w:b/>
          <w:color w:val="auto"/>
          <w:sz w:val="32"/>
          <w:szCs w:val="32"/>
          <w:highlight w:val="none"/>
          <w:lang w:eastAsia="zh-CN"/>
        </w:rPr>
        <w:t>2026年度港区建设项目环评和危废发证技术评估</w:t>
      </w:r>
    </w:p>
    <w:p w14:paraId="0EA20E86">
      <w:pPr>
        <w:overflowPunct w:val="0"/>
        <w:snapToGrid w:val="0"/>
        <w:spacing w:line="360" w:lineRule="auto"/>
        <w:rPr>
          <w:rFonts w:hint="eastAsia" w:ascii="宋体" w:hAnsi="宋体"/>
          <w:b/>
          <w:color w:val="auto"/>
          <w:sz w:val="32"/>
          <w:szCs w:val="32"/>
          <w:highlight w:val="none"/>
          <w:lang w:eastAsia="zh-CN"/>
        </w:rPr>
      </w:pPr>
      <w:r>
        <w:rPr>
          <w:rFonts w:hint="eastAsia" w:ascii="宋体" w:hAnsi="宋体"/>
          <w:b/>
          <w:color w:val="auto"/>
          <w:sz w:val="32"/>
          <w:szCs w:val="32"/>
          <w:highlight w:val="none"/>
        </w:rPr>
        <w:t>采购单位：</w:t>
      </w:r>
      <w:r>
        <w:rPr>
          <w:rFonts w:hint="eastAsia" w:ascii="宋体" w:hAnsi="宋体"/>
          <w:b/>
          <w:color w:val="auto"/>
          <w:sz w:val="32"/>
          <w:szCs w:val="32"/>
          <w:highlight w:val="none"/>
          <w:lang w:eastAsia="zh-CN"/>
        </w:rPr>
        <w:t>太仓港经济技术开发区管理委员会</w:t>
      </w:r>
    </w:p>
    <w:p w14:paraId="674843C5">
      <w:pPr>
        <w:overflowPunct w:val="0"/>
        <w:snapToGrid w:val="0"/>
        <w:spacing w:line="360" w:lineRule="auto"/>
        <w:rPr>
          <w:rFonts w:ascii="宋体" w:hAnsi="宋体"/>
          <w:b/>
          <w:color w:val="auto"/>
          <w:sz w:val="32"/>
          <w:szCs w:val="32"/>
          <w:highlight w:val="none"/>
        </w:rPr>
      </w:pPr>
      <w:r>
        <w:rPr>
          <w:rFonts w:hint="eastAsia" w:hAnsi="宋体"/>
          <w:b/>
          <w:color w:val="auto"/>
          <w:sz w:val="32"/>
          <w:szCs w:val="32"/>
          <w:highlight w:val="none"/>
        </w:rPr>
        <w:t>采购项目类别：服务类</w:t>
      </w:r>
    </w:p>
    <w:p w14:paraId="0CC799DC">
      <w:pPr>
        <w:rPr>
          <w:rFonts w:hint="default"/>
          <w:b/>
          <w:bCs/>
          <w:color w:val="auto"/>
          <w:sz w:val="32"/>
          <w:szCs w:val="32"/>
          <w:highlight w:val="none"/>
          <w:lang w:val="en-US"/>
        </w:rPr>
      </w:pPr>
      <w:r>
        <w:rPr>
          <w:rFonts w:hint="eastAsia"/>
          <w:b/>
          <w:bCs/>
          <w:color w:val="auto"/>
          <w:sz w:val="32"/>
          <w:szCs w:val="32"/>
          <w:highlight w:val="none"/>
        </w:rPr>
        <w:t>标的所属行业：</w:t>
      </w:r>
      <w:r>
        <w:rPr>
          <w:rFonts w:hint="eastAsia" w:ascii="宋体" w:hAnsi="宋体"/>
          <w:b/>
          <w:color w:val="auto"/>
          <w:sz w:val="32"/>
          <w:szCs w:val="32"/>
          <w:highlight w:val="none"/>
        </w:rPr>
        <w:t>（十</w:t>
      </w:r>
      <w:r>
        <w:rPr>
          <w:rFonts w:hint="eastAsia" w:ascii="宋体" w:hAnsi="宋体"/>
          <w:b/>
          <w:color w:val="auto"/>
          <w:sz w:val="32"/>
          <w:szCs w:val="32"/>
          <w:highlight w:val="none"/>
          <w:lang w:val="en-US" w:eastAsia="zh-CN"/>
        </w:rPr>
        <w:t>六</w:t>
      </w:r>
      <w:r>
        <w:rPr>
          <w:rFonts w:hint="eastAsia" w:ascii="宋体" w:hAnsi="宋体"/>
          <w:b/>
          <w:color w:val="auto"/>
          <w:sz w:val="32"/>
          <w:szCs w:val="32"/>
          <w:highlight w:val="none"/>
        </w:rPr>
        <w:t>）</w:t>
      </w:r>
      <w:r>
        <w:rPr>
          <w:rFonts w:hint="eastAsia" w:ascii="宋体" w:hAnsi="宋体"/>
          <w:b/>
          <w:color w:val="auto"/>
          <w:sz w:val="32"/>
          <w:szCs w:val="32"/>
          <w:highlight w:val="none"/>
          <w:lang w:val="en-US" w:eastAsia="zh-CN"/>
        </w:rPr>
        <w:t>其他未列明行业</w:t>
      </w:r>
    </w:p>
    <w:p w14:paraId="2409BB7E">
      <w:pPr>
        <w:overflowPunct w:val="0"/>
        <w:spacing w:line="360" w:lineRule="auto"/>
        <w:rPr>
          <w:rFonts w:ascii="宋体" w:hAnsi="宋体"/>
          <w:color w:val="auto"/>
          <w:sz w:val="28"/>
          <w:highlight w:val="none"/>
        </w:rPr>
      </w:pPr>
    </w:p>
    <w:p w14:paraId="291E2C02">
      <w:pPr>
        <w:overflowPunct w:val="0"/>
        <w:spacing w:line="360" w:lineRule="auto"/>
        <w:jc w:val="center"/>
        <w:rPr>
          <w:rFonts w:ascii="宋体" w:hAnsi="宋体"/>
          <w:color w:val="auto"/>
          <w:sz w:val="44"/>
          <w:szCs w:val="44"/>
          <w:highlight w:val="none"/>
        </w:rPr>
      </w:pPr>
    </w:p>
    <w:p w14:paraId="25190000">
      <w:pPr>
        <w:overflowPunct w:val="0"/>
        <w:spacing w:line="360" w:lineRule="auto"/>
        <w:jc w:val="center"/>
        <w:rPr>
          <w:rFonts w:ascii="宋体" w:hAnsi="宋体"/>
          <w:color w:val="auto"/>
          <w:sz w:val="36"/>
          <w:szCs w:val="36"/>
          <w:highlight w:val="none"/>
        </w:rPr>
      </w:pPr>
      <w:r>
        <w:rPr>
          <w:rFonts w:hint="eastAsia" w:ascii="宋体" w:hAnsi="宋体"/>
          <w:color w:val="auto"/>
          <w:sz w:val="36"/>
          <w:szCs w:val="36"/>
          <w:highlight w:val="none"/>
        </w:rPr>
        <w:t>江苏启越工程管理有限公司</w:t>
      </w:r>
    </w:p>
    <w:p w14:paraId="0DA105EE">
      <w:pPr>
        <w:overflowPunct w:val="0"/>
        <w:spacing w:line="360" w:lineRule="auto"/>
        <w:jc w:val="center"/>
        <w:rPr>
          <w:color w:val="auto"/>
          <w:sz w:val="18"/>
          <w:szCs w:val="16"/>
          <w:highlight w:val="none"/>
        </w:rPr>
      </w:pPr>
      <w:r>
        <w:rPr>
          <w:rFonts w:hint="eastAsia" w:ascii="宋体" w:hAnsi="宋体"/>
          <w:color w:val="auto"/>
          <w:sz w:val="36"/>
          <w:szCs w:val="36"/>
          <w:highlight w:val="none"/>
        </w:rPr>
        <w:t>二</w:t>
      </w:r>
      <w:r>
        <w:rPr>
          <w:b/>
          <w:color w:val="auto"/>
          <w:sz w:val="36"/>
          <w:szCs w:val="36"/>
          <w:highlight w:val="none"/>
        </w:rPr>
        <w:t>〇</w:t>
      </w:r>
      <w:r>
        <w:rPr>
          <w:rFonts w:hint="eastAsia" w:ascii="宋体" w:hAnsi="宋体"/>
          <w:color w:val="auto"/>
          <w:sz w:val="36"/>
          <w:szCs w:val="36"/>
          <w:highlight w:val="none"/>
        </w:rPr>
        <w:t>二</w:t>
      </w:r>
      <w:r>
        <w:rPr>
          <w:rFonts w:hint="eastAsia" w:ascii="宋体" w:hAnsi="宋体"/>
          <w:color w:val="auto"/>
          <w:sz w:val="36"/>
          <w:szCs w:val="36"/>
          <w:highlight w:val="none"/>
          <w:lang w:val="en-US" w:eastAsia="zh-CN"/>
        </w:rPr>
        <w:t>六</w:t>
      </w:r>
      <w:r>
        <w:rPr>
          <w:rFonts w:hint="eastAsia" w:ascii="宋体" w:hAnsi="宋体"/>
          <w:color w:val="auto"/>
          <w:sz w:val="36"/>
          <w:szCs w:val="36"/>
          <w:highlight w:val="none"/>
        </w:rPr>
        <w:t>年</w:t>
      </w:r>
      <w:r>
        <w:rPr>
          <w:rFonts w:hint="eastAsia" w:ascii="宋体" w:hAnsi="宋体"/>
          <w:color w:val="auto"/>
          <w:sz w:val="36"/>
          <w:szCs w:val="36"/>
          <w:highlight w:val="none"/>
          <w:lang w:val="en-US" w:eastAsia="zh-CN"/>
        </w:rPr>
        <w:t>一</w:t>
      </w:r>
      <w:r>
        <w:rPr>
          <w:rFonts w:hint="eastAsia" w:ascii="宋体" w:hAnsi="宋体"/>
          <w:color w:val="auto"/>
          <w:sz w:val="36"/>
          <w:szCs w:val="36"/>
          <w:highlight w:val="none"/>
        </w:rPr>
        <w:t>月</w:t>
      </w:r>
      <w:r>
        <w:rPr>
          <w:color w:val="auto"/>
          <w:sz w:val="18"/>
          <w:szCs w:val="16"/>
          <w:highlight w:val="none"/>
        </w:rPr>
        <w:br w:type="page"/>
      </w:r>
    </w:p>
    <w:p w14:paraId="1612E87A">
      <w:pPr>
        <w:overflowPunct w:val="0"/>
        <w:spacing w:line="360" w:lineRule="auto"/>
        <w:jc w:val="center"/>
        <w:rPr>
          <w:b/>
          <w:color w:val="auto"/>
          <w:sz w:val="36"/>
          <w:szCs w:val="36"/>
          <w:highlight w:val="none"/>
        </w:rPr>
      </w:pPr>
    </w:p>
    <w:p w14:paraId="73DFAE10">
      <w:pPr>
        <w:overflowPunct w:val="0"/>
        <w:spacing w:line="360" w:lineRule="auto"/>
        <w:jc w:val="center"/>
        <w:rPr>
          <w:b/>
          <w:color w:val="auto"/>
          <w:sz w:val="36"/>
          <w:szCs w:val="36"/>
          <w:highlight w:val="none"/>
        </w:rPr>
      </w:pPr>
      <w:r>
        <w:rPr>
          <w:b/>
          <w:color w:val="auto"/>
          <w:sz w:val="36"/>
          <w:szCs w:val="36"/>
          <w:highlight w:val="none"/>
        </w:rPr>
        <w:t>目   录</w:t>
      </w:r>
      <w:bookmarkStart w:id="0" w:name="_Toc158691765"/>
    </w:p>
    <w:p w14:paraId="5CB88165">
      <w:pPr>
        <w:pStyle w:val="7"/>
        <w:rPr>
          <w:color w:val="auto"/>
          <w:highlight w:val="none"/>
        </w:rPr>
      </w:pPr>
    </w:p>
    <w:p w14:paraId="6D4B956D">
      <w:pPr>
        <w:spacing w:line="360" w:lineRule="auto"/>
        <w:rPr>
          <w:rFonts w:ascii="宋体"/>
          <w:color w:val="auto"/>
          <w:sz w:val="30"/>
          <w:szCs w:val="30"/>
          <w:highlight w:val="none"/>
        </w:rPr>
      </w:pPr>
      <w:r>
        <w:rPr>
          <w:rFonts w:hint="eastAsia" w:ascii="宋体"/>
          <w:color w:val="auto"/>
          <w:sz w:val="30"/>
          <w:szCs w:val="30"/>
          <w:highlight w:val="none"/>
        </w:rPr>
        <w:t>第一部分：招标公告</w:t>
      </w:r>
    </w:p>
    <w:p w14:paraId="409392B9">
      <w:pPr>
        <w:spacing w:line="360" w:lineRule="auto"/>
        <w:rPr>
          <w:rFonts w:ascii="宋体"/>
          <w:color w:val="auto"/>
          <w:sz w:val="30"/>
          <w:szCs w:val="30"/>
          <w:highlight w:val="none"/>
        </w:rPr>
      </w:pPr>
      <w:r>
        <w:rPr>
          <w:rFonts w:hint="eastAsia" w:ascii="宋体"/>
          <w:color w:val="auto"/>
          <w:sz w:val="30"/>
          <w:szCs w:val="30"/>
          <w:highlight w:val="none"/>
        </w:rPr>
        <w:t>第二部分：投标人须知</w:t>
      </w:r>
    </w:p>
    <w:p w14:paraId="5C4D3E38">
      <w:pPr>
        <w:spacing w:line="360" w:lineRule="auto"/>
        <w:rPr>
          <w:rFonts w:ascii="宋体"/>
          <w:color w:val="auto"/>
          <w:sz w:val="30"/>
          <w:szCs w:val="30"/>
          <w:highlight w:val="none"/>
        </w:rPr>
      </w:pPr>
      <w:r>
        <w:rPr>
          <w:rFonts w:hint="eastAsia" w:ascii="宋体"/>
          <w:color w:val="auto"/>
          <w:sz w:val="30"/>
          <w:szCs w:val="30"/>
          <w:highlight w:val="none"/>
        </w:rPr>
        <w:t>第三部分：项目需求</w:t>
      </w:r>
    </w:p>
    <w:p w14:paraId="6894ECCD">
      <w:pPr>
        <w:spacing w:line="360" w:lineRule="auto"/>
        <w:rPr>
          <w:rFonts w:ascii="宋体"/>
          <w:color w:val="auto"/>
          <w:sz w:val="30"/>
          <w:szCs w:val="30"/>
          <w:highlight w:val="none"/>
        </w:rPr>
      </w:pPr>
      <w:r>
        <w:rPr>
          <w:rFonts w:hint="eastAsia" w:ascii="宋体"/>
          <w:color w:val="auto"/>
          <w:sz w:val="30"/>
          <w:szCs w:val="30"/>
          <w:highlight w:val="none"/>
        </w:rPr>
        <w:t>第四部分：投标文件格式</w:t>
      </w:r>
    </w:p>
    <w:p w14:paraId="2728D822">
      <w:pPr>
        <w:spacing w:line="360" w:lineRule="auto"/>
        <w:rPr>
          <w:rFonts w:ascii="宋体"/>
          <w:color w:val="auto"/>
          <w:sz w:val="30"/>
          <w:szCs w:val="30"/>
          <w:highlight w:val="none"/>
        </w:rPr>
      </w:pPr>
      <w:r>
        <w:rPr>
          <w:rFonts w:hint="eastAsia" w:ascii="宋体"/>
          <w:color w:val="auto"/>
          <w:sz w:val="30"/>
          <w:szCs w:val="30"/>
          <w:highlight w:val="none"/>
        </w:rPr>
        <w:t>第五部分：评标方法与评标标准</w:t>
      </w:r>
    </w:p>
    <w:p w14:paraId="00697B15">
      <w:pPr>
        <w:rPr>
          <w:b/>
          <w:color w:val="auto"/>
          <w:sz w:val="36"/>
          <w:szCs w:val="36"/>
          <w:highlight w:val="none"/>
        </w:rPr>
      </w:pPr>
      <w:r>
        <w:rPr>
          <w:rFonts w:hint="eastAsia" w:ascii="宋体"/>
          <w:color w:val="auto"/>
          <w:sz w:val="30"/>
          <w:szCs w:val="30"/>
          <w:highlight w:val="none"/>
        </w:rPr>
        <w:t>第六部分：合同主要条款</w:t>
      </w:r>
    </w:p>
    <w:p w14:paraId="5B358595">
      <w:pPr>
        <w:pStyle w:val="13"/>
        <w:rPr>
          <w:color w:val="auto"/>
          <w:highlight w:val="none"/>
        </w:rPr>
      </w:pPr>
      <w:bookmarkStart w:id="1" w:name="_Toc315868049"/>
      <w:bookmarkStart w:id="2" w:name="_Toc315875312"/>
      <w:bookmarkStart w:id="3" w:name="_Toc467507028"/>
    </w:p>
    <w:p w14:paraId="7A47DF1C">
      <w:pPr>
        <w:pStyle w:val="13"/>
        <w:rPr>
          <w:color w:val="auto"/>
          <w:highlight w:val="none"/>
        </w:rPr>
      </w:pPr>
    </w:p>
    <w:p w14:paraId="3CB50CA5">
      <w:pPr>
        <w:pStyle w:val="13"/>
        <w:rPr>
          <w:color w:val="auto"/>
          <w:highlight w:val="none"/>
        </w:rPr>
      </w:pPr>
    </w:p>
    <w:p w14:paraId="11A36BA8">
      <w:pPr>
        <w:pStyle w:val="13"/>
        <w:rPr>
          <w:color w:val="auto"/>
          <w:highlight w:val="none"/>
        </w:rPr>
      </w:pPr>
    </w:p>
    <w:p w14:paraId="017DD349">
      <w:pPr>
        <w:pStyle w:val="13"/>
        <w:rPr>
          <w:color w:val="auto"/>
          <w:highlight w:val="none"/>
        </w:rPr>
      </w:pPr>
    </w:p>
    <w:p w14:paraId="4D1B850B">
      <w:pPr>
        <w:pStyle w:val="13"/>
        <w:rPr>
          <w:color w:val="auto"/>
          <w:highlight w:val="none"/>
        </w:rPr>
      </w:pPr>
    </w:p>
    <w:p w14:paraId="305AA398">
      <w:pPr>
        <w:pStyle w:val="13"/>
        <w:rPr>
          <w:color w:val="auto"/>
          <w:highlight w:val="none"/>
        </w:rPr>
      </w:pPr>
    </w:p>
    <w:p w14:paraId="5F762BEF">
      <w:pPr>
        <w:pStyle w:val="13"/>
        <w:rPr>
          <w:color w:val="auto"/>
          <w:highlight w:val="none"/>
        </w:rPr>
      </w:pPr>
    </w:p>
    <w:p w14:paraId="37F940C3">
      <w:pPr>
        <w:rPr>
          <w:color w:val="auto"/>
          <w:highlight w:val="none"/>
        </w:rPr>
      </w:pPr>
    </w:p>
    <w:p w14:paraId="540F6382">
      <w:pPr>
        <w:pStyle w:val="21"/>
        <w:ind w:firstLine="420"/>
        <w:rPr>
          <w:color w:val="auto"/>
          <w:highlight w:val="none"/>
        </w:rPr>
      </w:pPr>
    </w:p>
    <w:p w14:paraId="033BF0F8">
      <w:pPr>
        <w:rPr>
          <w:color w:val="auto"/>
          <w:highlight w:val="none"/>
        </w:rPr>
      </w:pPr>
    </w:p>
    <w:p w14:paraId="7741F738">
      <w:pPr>
        <w:pStyle w:val="21"/>
        <w:ind w:firstLine="420"/>
        <w:rPr>
          <w:color w:val="auto"/>
          <w:highlight w:val="none"/>
        </w:rPr>
      </w:pPr>
    </w:p>
    <w:p w14:paraId="4C219BD7">
      <w:pPr>
        <w:rPr>
          <w:color w:val="auto"/>
          <w:highlight w:val="none"/>
        </w:rPr>
      </w:pPr>
    </w:p>
    <w:p w14:paraId="456F092C">
      <w:pPr>
        <w:pStyle w:val="21"/>
        <w:ind w:firstLine="420"/>
        <w:rPr>
          <w:color w:val="auto"/>
          <w:highlight w:val="none"/>
        </w:rPr>
      </w:pPr>
    </w:p>
    <w:p w14:paraId="60544A87">
      <w:pPr>
        <w:rPr>
          <w:color w:val="auto"/>
          <w:highlight w:val="none"/>
        </w:rPr>
      </w:pPr>
    </w:p>
    <w:p w14:paraId="6DF30766">
      <w:pPr>
        <w:pStyle w:val="21"/>
        <w:ind w:firstLine="420"/>
        <w:rPr>
          <w:color w:val="auto"/>
          <w:highlight w:val="none"/>
        </w:rPr>
      </w:pPr>
    </w:p>
    <w:p w14:paraId="0E877B55">
      <w:pPr>
        <w:rPr>
          <w:color w:val="auto"/>
          <w:highlight w:val="none"/>
        </w:rPr>
      </w:pPr>
    </w:p>
    <w:p w14:paraId="6A12124E">
      <w:pPr>
        <w:pStyle w:val="22"/>
        <w:rPr>
          <w:b/>
          <w:color w:val="auto"/>
          <w:sz w:val="30"/>
          <w:szCs w:val="30"/>
          <w:highlight w:val="none"/>
        </w:rPr>
        <w:sectPr>
          <w:footerReference r:id="rId4" w:type="first"/>
          <w:footerReference r:id="rId3" w:type="default"/>
          <w:pgSz w:w="11900" w:h="16820"/>
          <w:pgMar w:top="1540" w:right="1680" w:bottom="1160" w:left="1660" w:header="0" w:footer="975" w:gutter="0"/>
          <w:pgBorders>
            <w:top w:val="none" w:sz="0" w:space="0"/>
            <w:left w:val="none" w:sz="0" w:space="0"/>
            <w:bottom w:val="none" w:sz="0" w:space="0"/>
            <w:right w:val="none" w:sz="0" w:space="0"/>
          </w:pgBorders>
          <w:pgNumType w:fmt="decimal" w:start="1"/>
          <w:cols w:space="720" w:num="1"/>
        </w:sectPr>
      </w:pPr>
    </w:p>
    <w:bookmarkEnd w:id="0"/>
    <w:bookmarkEnd w:id="1"/>
    <w:bookmarkEnd w:id="2"/>
    <w:bookmarkEnd w:id="3"/>
    <w:p w14:paraId="71C5F2CE">
      <w:pPr>
        <w:spacing w:line="480" w:lineRule="auto"/>
        <w:ind w:firstLine="883" w:firstLineChars="200"/>
        <w:jc w:val="center"/>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第一部分 招标公告</w:t>
      </w:r>
    </w:p>
    <w:p w14:paraId="719B9A02">
      <w:pPr>
        <w:spacing w:line="480" w:lineRule="auto"/>
        <w:ind w:firstLine="482" w:firstLineChars="200"/>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项目概况</w:t>
      </w:r>
    </w:p>
    <w:p w14:paraId="531AF6F9">
      <w:pPr>
        <w:spacing w:line="480" w:lineRule="auto"/>
        <w:ind w:firstLine="480" w:firstLineChars="200"/>
        <w:rPr>
          <w:rFonts w:asciiTheme="majorEastAsia" w:hAnsiTheme="majorEastAsia" w:eastAsiaTheme="majorEastAsia"/>
          <w:b w:val="0"/>
          <w:bCs/>
          <w:color w:val="auto"/>
          <w:sz w:val="24"/>
          <w:szCs w:val="24"/>
          <w:highlight w:val="none"/>
        </w:rPr>
      </w:pPr>
      <w:r>
        <w:rPr>
          <w:rFonts w:hint="eastAsia" w:ascii="宋体" w:hAnsi="宋体" w:cs="宋体"/>
          <w:color w:val="auto"/>
          <w:sz w:val="24"/>
          <w:szCs w:val="24"/>
          <w:highlight w:val="none"/>
          <w:shd w:val="clear" w:color="auto" w:fill="FFFFFF"/>
          <w:lang w:eastAsia="zh-CN" w:bidi="ar"/>
        </w:rPr>
        <w:t>太仓港经济技术开发区管理委员会</w:t>
      </w:r>
      <w:r>
        <w:rPr>
          <w:rFonts w:hint="eastAsia" w:ascii="宋体" w:hAnsi="宋体" w:cs="宋体"/>
          <w:color w:val="auto"/>
          <w:sz w:val="24"/>
          <w:szCs w:val="24"/>
          <w:highlight w:val="none"/>
          <w:shd w:val="clear" w:color="auto" w:fill="FFFFFF"/>
          <w:lang w:bidi="ar"/>
        </w:rPr>
        <w:t>的</w:t>
      </w:r>
      <w:r>
        <w:rPr>
          <w:rFonts w:hint="eastAsia" w:ascii="宋体" w:hAnsi="宋体" w:cs="宋体"/>
          <w:color w:val="auto"/>
          <w:sz w:val="24"/>
          <w:szCs w:val="24"/>
          <w:highlight w:val="none"/>
          <w:shd w:val="clear" w:color="auto" w:fill="FFFFFF"/>
          <w:lang w:eastAsia="zh-CN" w:bidi="ar"/>
        </w:rPr>
        <w:t>2026年度港区建设项目环评和危废发证技术评估</w:t>
      </w:r>
      <w:r>
        <w:rPr>
          <w:rFonts w:hint="eastAsia" w:asciiTheme="majorEastAsia" w:hAnsiTheme="majorEastAsia" w:eastAsiaTheme="majorEastAsia"/>
          <w:color w:val="auto"/>
          <w:sz w:val="24"/>
          <w:szCs w:val="24"/>
          <w:highlight w:val="none"/>
        </w:rPr>
        <w:t>的潜在投标人应在</w:t>
      </w:r>
      <w:r>
        <w:rPr>
          <w:rFonts w:hint="eastAsia" w:asciiTheme="majorEastAsia" w:hAnsiTheme="majorEastAsia" w:eastAsiaTheme="majorEastAsia"/>
          <w:b w:val="0"/>
          <w:bCs w:val="0"/>
          <w:color w:val="auto"/>
          <w:sz w:val="24"/>
          <w:szCs w:val="24"/>
          <w:highlight w:val="none"/>
        </w:rPr>
        <w:t>“苏采云政府采购一体化平台”中参与项目并下载获</w:t>
      </w:r>
      <w:r>
        <w:rPr>
          <w:rFonts w:hint="eastAsia" w:asciiTheme="majorEastAsia" w:hAnsiTheme="majorEastAsia" w:eastAsiaTheme="majorEastAsia"/>
          <w:color w:val="auto"/>
          <w:sz w:val="24"/>
          <w:szCs w:val="24"/>
          <w:highlight w:val="none"/>
        </w:rPr>
        <w:t>取电子招标文件，并于</w:t>
      </w:r>
      <w:r>
        <w:rPr>
          <w:rFonts w:hint="eastAsia" w:asciiTheme="majorEastAsia" w:hAnsiTheme="majorEastAsia" w:eastAsiaTheme="majorEastAsia"/>
          <w:b w:val="0"/>
          <w:bCs/>
          <w:color w:val="auto"/>
          <w:sz w:val="24"/>
          <w:szCs w:val="24"/>
          <w:highlight w:val="none"/>
          <w:u w:val="single"/>
        </w:rPr>
        <w:t>202</w:t>
      </w:r>
      <w:r>
        <w:rPr>
          <w:rFonts w:hint="eastAsia" w:asciiTheme="majorEastAsia" w:hAnsiTheme="majorEastAsia" w:eastAsiaTheme="majorEastAsia"/>
          <w:b w:val="0"/>
          <w:bCs/>
          <w:color w:val="auto"/>
          <w:sz w:val="24"/>
          <w:szCs w:val="24"/>
          <w:highlight w:val="none"/>
          <w:u w:val="single"/>
          <w:lang w:val="en-US" w:eastAsia="zh-CN"/>
        </w:rPr>
        <w:t>6</w:t>
      </w:r>
      <w:r>
        <w:rPr>
          <w:rFonts w:hint="eastAsia" w:asciiTheme="majorEastAsia" w:hAnsiTheme="majorEastAsia" w:eastAsiaTheme="majorEastAsia"/>
          <w:b w:val="0"/>
          <w:bCs/>
          <w:color w:val="auto"/>
          <w:sz w:val="24"/>
          <w:szCs w:val="24"/>
          <w:highlight w:val="none"/>
          <w:u w:val="single"/>
        </w:rPr>
        <w:t>年</w:t>
      </w:r>
      <w:r>
        <w:rPr>
          <w:rFonts w:hint="eastAsia" w:asciiTheme="majorEastAsia" w:hAnsiTheme="majorEastAsia" w:eastAsiaTheme="majorEastAsia"/>
          <w:b w:val="0"/>
          <w:bCs/>
          <w:color w:val="auto"/>
          <w:sz w:val="24"/>
          <w:szCs w:val="24"/>
          <w:highlight w:val="none"/>
          <w:u w:val="single"/>
          <w:lang w:val="en-US" w:eastAsia="zh-CN"/>
        </w:rPr>
        <w:t xml:space="preserve"> 2</w:t>
      </w:r>
      <w:r>
        <w:rPr>
          <w:rFonts w:hint="eastAsia" w:asciiTheme="majorEastAsia" w:hAnsiTheme="majorEastAsia" w:eastAsiaTheme="majorEastAsia"/>
          <w:b w:val="0"/>
          <w:bCs/>
          <w:color w:val="auto"/>
          <w:sz w:val="24"/>
          <w:szCs w:val="24"/>
          <w:highlight w:val="none"/>
          <w:u w:val="single"/>
        </w:rPr>
        <w:t>月</w:t>
      </w:r>
      <w:r>
        <w:rPr>
          <w:rFonts w:hint="eastAsia" w:asciiTheme="majorEastAsia" w:hAnsiTheme="majorEastAsia" w:eastAsiaTheme="majorEastAsia"/>
          <w:b w:val="0"/>
          <w:bCs/>
          <w:color w:val="auto"/>
          <w:sz w:val="24"/>
          <w:szCs w:val="24"/>
          <w:highlight w:val="none"/>
          <w:u w:val="single"/>
          <w:lang w:val="en-US" w:eastAsia="zh-CN"/>
        </w:rPr>
        <w:t xml:space="preserve">3 </w:t>
      </w:r>
      <w:r>
        <w:rPr>
          <w:rFonts w:hint="eastAsia" w:asciiTheme="majorEastAsia" w:hAnsiTheme="majorEastAsia" w:eastAsiaTheme="majorEastAsia"/>
          <w:b w:val="0"/>
          <w:bCs/>
          <w:color w:val="auto"/>
          <w:sz w:val="24"/>
          <w:szCs w:val="24"/>
          <w:highlight w:val="none"/>
          <w:u w:val="single"/>
        </w:rPr>
        <w:t>日</w:t>
      </w:r>
      <w:r>
        <w:rPr>
          <w:rFonts w:hint="eastAsia" w:asciiTheme="majorEastAsia" w:hAnsiTheme="majorEastAsia" w:eastAsiaTheme="majorEastAsia"/>
          <w:b w:val="0"/>
          <w:bCs/>
          <w:color w:val="auto"/>
          <w:sz w:val="24"/>
          <w:szCs w:val="24"/>
          <w:highlight w:val="none"/>
          <w:u w:val="single"/>
          <w:lang w:val="en-US" w:eastAsia="zh-CN"/>
        </w:rPr>
        <w:t xml:space="preserve">09 </w:t>
      </w:r>
      <w:r>
        <w:rPr>
          <w:rFonts w:hint="eastAsia" w:asciiTheme="majorEastAsia" w:hAnsiTheme="majorEastAsia" w:eastAsiaTheme="majorEastAsia"/>
          <w:b w:val="0"/>
          <w:bCs/>
          <w:color w:val="auto"/>
          <w:sz w:val="24"/>
          <w:szCs w:val="24"/>
          <w:highlight w:val="none"/>
          <w:u w:val="single"/>
        </w:rPr>
        <w:t>点</w:t>
      </w:r>
      <w:r>
        <w:rPr>
          <w:rFonts w:hint="eastAsia" w:asciiTheme="majorEastAsia" w:hAnsiTheme="majorEastAsia" w:eastAsiaTheme="majorEastAsia"/>
          <w:b w:val="0"/>
          <w:bCs/>
          <w:color w:val="auto"/>
          <w:sz w:val="24"/>
          <w:szCs w:val="24"/>
          <w:highlight w:val="none"/>
          <w:u w:val="single"/>
          <w:lang w:val="en-US" w:eastAsia="zh-CN"/>
        </w:rPr>
        <w:t xml:space="preserve"> 30</w:t>
      </w:r>
      <w:r>
        <w:rPr>
          <w:rFonts w:hint="eastAsia" w:asciiTheme="majorEastAsia" w:hAnsiTheme="majorEastAsia" w:eastAsiaTheme="majorEastAsia"/>
          <w:b w:val="0"/>
          <w:bCs/>
          <w:color w:val="auto"/>
          <w:sz w:val="24"/>
          <w:szCs w:val="24"/>
          <w:highlight w:val="none"/>
          <w:u w:val="single"/>
        </w:rPr>
        <w:t>分</w:t>
      </w:r>
      <w:r>
        <w:rPr>
          <w:rFonts w:hint="eastAsia" w:asciiTheme="majorEastAsia" w:hAnsiTheme="majorEastAsia" w:eastAsiaTheme="majorEastAsia"/>
          <w:b w:val="0"/>
          <w:bCs/>
          <w:color w:val="auto"/>
          <w:sz w:val="24"/>
          <w:szCs w:val="24"/>
          <w:highlight w:val="none"/>
        </w:rPr>
        <w:t>（北京时间）前上传电子投标文件。</w:t>
      </w:r>
    </w:p>
    <w:p w14:paraId="6569C94E">
      <w:pPr>
        <w:spacing w:line="480" w:lineRule="auto"/>
        <w:rPr>
          <w:b/>
          <w:bCs/>
          <w:color w:val="auto"/>
          <w:highlight w:val="none"/>
        </w:rPr>
      </w:pPr>
      <w:r>
        <w:rPr>
          <w:rFonts w:hint="eastAsia" w:cs="宋体"/>
          <w:b/>
          <w:bCs/>
          <w:color w:val="auto"/>
          <w:sz w:val="24"/>
          <w:szCs w:val="24"/>
          <w:highlight w:val="none"/>
          <w:shd w:val="clear" w:color="auto" w:fill="FFFFFF"/>
        </w:rPr>
        <w:t xml:space="preserve"> 一、项目基本情况： </w:t>
      </w:r>
    </w:p>
    <w:p w14:paraId="554BB1C1">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default" w:ascii="宋体" w:hAnsi="宋体" w:eastAsia="宋体" w:cs="宋体"/>
          <w:b w:val="0"/>
          <w:bCs w:val="0"/>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bidi="ar"/>
        </w:rPr>
        <w:t>1、项目编号</w:t>
      </w:r>
      <w:r>
        <w:rPr>
          <w:rFonts w:hint="eastAsia" w:ascii="宋体" w:hAnsi="宋体" w:cs="宋体"/>
          <w:b w:val="0"/>
          <w:bCs w:val="0"/>
          <w:color w:val="auto"/>
          <w:sz w:val="24"/>
          <w:szCs w:val="24"/>
          <w:highlight w:val="none"/>
          <w:shd w:val="clear" w:color="auto" w:fill="FFFFFF"/>
          <w:lang w:bidi="ar"/>
        </w:rPr>
        <w:t>：</w:t>
      </w:r>
      <w:r>
        <w:rPr>
          <w:rFonts w:hint="eastAsia" w:ascii="宋体" w:hAnsi="宋体"/>
          <w:b w:val="0"/>
          <w:bCs w:val="0"/>
          <w:color w:val="auto"/>
          <w:sz w:val="24"/>
          <w:szCs w:val="24"/>
          <w:highlight w:val="none"/>
          <w:lang w:eastAsia="zh-CN"/>
        </w:rPr>
        <w:t>JSZC-320585-JSQY-G2025-0015</w:t>
      </w:r>
    </w:p>
    <w:p w14:paraId="360B40C9">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4"/>
          <w:highlight w:val="none"/>
          <w:u w:val="single"/>
          <w:shd w:val="clear" w:color="auto" w:fill="FFFFFF"/>
          <w:lang w:eastAsia="zh-CN" w:bidi="ar"/>
        </w:rPr>
      </w:pPr>
      <w:r>
        <w:rPr>
          <w:rFonts w:hint="eastAsia" w:ascii="宋体" w:hAnsi="宋体" w:cs="宋体"/>
          <w:color w:val="auto"/>
          <w:sz w:val="24"/>
          <w:szCs w:val="24"/>
          <w:highlight w:val="none"/>
          <w:shd w:val="clear" w:color="auto" w:fill="FFFFFF"/>
          <w:lang w:bidi="ar"/>
        </w:rPr>
        <w:t>2、项目名称：</w:t>
      </w:r>
      <w:r>
        <w:rPr>
          <w:rFonts w:hint="eastAsia" w:ascii="宋体" w:hAnsi="宋体" w:cs="宋体"/>
          <w:color w:val="auto"/>
          <w:sz w:val="24"/>
          <w:szCs w:val="24"/>
          <w:highlight w:val="none"/>
          <w:shd w:val="clear" w:color="auto" w:fill="FFFFFF"/>
          <w:lang w:eastAsia="zh-CN" w:bidi="ar"/>
        </w:rPr>
        <w:t>2026年度港区建设项目环评和危废发证技术评估</w:t>
      </w:r>
    </w:p>
    <w:p w14:paraId="23CA3BF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预算金额：人民币（大写）</w:t>
      </w:r>
      <w:r>
        <w:rPr>
          <w:rFonts w:hint="eastAsia" w:ascii="宋体" w:hAnsi="宋体" w:eastAsia="宋体" w:cs="宋体"/>
          <w:color w:val="auto"/>
          <w:sz w:val="24"/>
          <w:szCs w:val="24"/>
          <w:highlight w:val="none"/>
          <w:lang w:val="en-US" w:eastAsia="zh-CN"/>
        </w:rPr>
        <w:t>壹佰万元整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¥1000000.00</w:t>
      </w:r>
      <w:r>
        <w:rPr>
          <w:rFonts w:hint="eastAsia" w:ascii="宋体" w:hAnsi="宋体" w:eastAsia="宋体" w:cs="宋体"/>
          <w:color w:val="auto"/>
          <w:sz w:val="24"/>
          <w:szCs w:val="24"/>
          <w:highlight w:val="none"/>
        </w:rPr>
        <w:t>）</w:t>
      </w:r>
    </w:p>
    <w:p w14:paraId="132B659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920" w:firstLineChars="8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lang w:eastAsia="zh-CN"/>
        </w:rPr>
        <w:t>拾万元整（</w:t>
      </w:r>
      <w:r>
        <w:rPr>
          <w:rFonts w:hint="eastAsia" w:ascii="宋体" w:hAnsi="宋体" w:eastAsia="宋体" w:cs="宋体"/>
          <w:color w:val="auto"/>
          <w:sz w:val="24"/>
          <w:szCs w:val="24"/>
          <w:highlight w:val="none"/>
          <w:lang w:val="en-US" w:eastAsia="zh-CN"/>
        </w:rPr>
        <w:t>¥500000.00</w:t>
      </w:r>
      <w:r>
        <w:rPr>
          <w:rFonts w:hint="eastAsia" w:ascii="宋体" w:hAnsi="宋体" w:eastAsia="宋体" w:cs="宋体"/>
          <w:color w:val="auto"/>
          <w:sz w:val="24"/>
          <w:szCs w:val="24"/>
          <w:highlight w:val="none"/>
        </w:rPr>
        <w:t>）</w:t>
      </w:r>
    </w:p>
    <w:p w14:paraId="2A4F6B3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920" w:firstLineChars="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lang w:eastAsia="zh-CN"/>
        </w:rPr>
        <w:t>拾万元整（</w:t>
      </w:r>
      <w:r>
        <w:rPr>
          <w:rFonts w:hint="eastAsia" w:ascii="宋体" w:hAnsi="宋体" w:eastAsia="宋体" w:cs="宋体"/>
          <w:color w:val="auto"/>
          <w:sz w:val="24"/>
          <w:szCs w:val="24"/>
          <w:highlight w:val="none"/>
          <w:lang w:val="en-US" w:eastAsia="zh-CN"/>
        </w:rPr>
        <w:t>¥500000.00</w:t>
      </w:r>
      <w:r>
        <w:rPr>
          <w:rFonts w:hint="eastAsia" w:ascii="宋体" w:hAnsi="宋体" w:eastAsia="宋体" w:cs="宋体"/>
          <w:color w:val="auto"/>
          <w:sz w:val="24"/>
          <w:szCs w:val="24"/>
          <w:highlight w:val="none"/>
        </w:rPr>
        <w:t>）</w:t>
      </w:r>
    </w:p>
    <w:p w14:paraId="4EA42D4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Calibri" w:hAnsi="Calibri" w:eastAsia="宋体" w:cs="Times New Roman"/>
          <w:color w:val="auto"/>
          <w:sz w:val="24"/>
          <w:szCs w:val="24"/>
          <w:highlight w:val="none"/>
          <w:lang w:val="en-US" w:eastAsia="zh-CN"/>
        </w:rPr>
        <w:t>4、</w:t>
      </w:r>
      <w:r>
        <w:rPr>
          <w:rFonts w:hint="eastAsia" w:ascii="Calibri" w:hAnsi="Calibri" w:eastAsia="宋体" w:cs="Times New Roman"/>
          <w:color w:val="auto"/>
          <w:sz w:val="24"/>
          <w:szCs w:val="24"/>
          <w:highlight w:val="none"/>
        </w:rPr>
        <w:t>最高限价：</w:t>
      </w: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lang w:val="en-US" w:eastAsia="zh-CN"/>
        </w:rPr>
        <w:t>壹佰万元整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¥1000000.00</w:t>
      </w:r>
      <w:r>
        <w:rPr>
          <w:rFonts w:hint="eastAsia" w:ascii="宋体" w:hAnsi="宋体" w:eastAsia="宋体" w:cs="宋体"/>
          <w:color w:val="auto"/>
          <w:sz w:val="24"/>
          <w:szCs w:val="24"/>
          <w:highlight w:val="none"/>
        </w:rPr>
        <w:t>）</w:t>
      </w:r>
    </w:p>
    <w:p w14:paraId="20EAB1F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920" w:firstLineChars="8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lang w:eastAsia="zh-CN"/>
        </w:rPr>
        <w:t>拾万元整（</w:t>
      </w:r>
      <w:r>
        <w:rPr>
          <w:rFonts w:hint="eastAsia" w:ascii="宋体" w:hAnsi="宋体" w:eastAsia="宋体" w:cs="宋体"/>
          <w:color w:val="auto"/>
          <w:sz w:val="24"/>
          <w:szCs w:val="24"/>
          <w:highlight w:val="none"/>
          <w:lang w:val="en-US" w:eastAsia="zh-CN"/>
        </w:rPr>
        <w:t>¥500000.00</w:t>
      </w:r>
      <w:r>
        <w:rPr>
          <w:rFonts w:hint="eastAsia" w:ascii="宋体" w:hAnsi="宋体" w:eastAsia="宋体" w:cs="宋体"/>
          <w:color w:val="auto"/>
          <w:sz w:val="24"/>
          <w:szCs w:val="24"/>
          <w:highlight w:val="none"/>
        </w:rPr>
        <w:t>）</w:t>
      </w:r>
    </w:p>
    <w:p w14:paraId="2C2BC44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920" w:firstLineChars="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lang w:eastAsia="zh-CN"/>
        </w:rPr>
        <w:t>拾万元整（</w:t>
      </w:r>
      <w:r>
        <w:rPr>
          <w:rFonts w:hint="eastAsia" w:ascii="宋体" w:hAnsi="宋体" w:eastAsia="宋体" w:cs="宋体"/>
          <w:color w:val="auto"/>
          <w:sz w:val="24"/>
          <w:szCs w:val="24"/>
          <w:highlight w:val="none"/>
          <w:lang w:val="en-US" w:eastAsia="zh-CN"/>
        </w:rPr>
        <w:t>¥500000.00</w:t>
      </w:r>
      <w:r>
        <w:rPr>
          <w:rFonts w:hint="eastAsia" w:ascii="宋体" w:hAnsi="宋体" w:eastAsia="宋体" w:cs="宋体"/>
          <w:color w:val="auto"/>
          <w:sz w:val="24"/>
          <w:szCs w:val="24"/>
          <w:highlight w:val="none"/>
        </w:rPr>
        <w:t>）</w:t>
      </w:r>
    </w:p>
    <w:p w14:paraId="1C5AFDA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5、项目概况</w:t>
      </w:r>
    </w:p>
    <w:tbl>
      <w:tblPr>
        <w:tblStyle w:val="15"/>
        <w:tblW w:w="0" w:type="auto"/>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6"/>
        <w:gridCol w:w="1793"/>
        <w:gridCol w:w="5078"/>
        <w:gridCol w:w="1279"/>
      </w:tblGrid>
      <w:tr w14:paraId="1AF46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7" w:hRule="atLeast"/>
        </w:trPr>
        <w:tc>
          <w:tcPr>
            <w:tcW w:w="1006" w:type="dxa"/>
            <w:noWrap w:val="0"/>
            <w:vAlign w:val="center"/>
          </w:tcPr>
          <w:p w14:paraId="26A0101D">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标段号</w:t>
            </w:r>
          </w:p>
        </w:tc>
        <w:tc>
          <w:tcPr>
            <w:tcW w:w="1793" w:type="dxa"/>
            <w:noWrap w:val="0"/>
            <w:vAlign w:val="center"/>
          </w:tcPr>
          <w:p w14:paraId="2FC04832">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服务内容</w:t>
            </w:r>
          </w:p>
        </w:tc>
        <w:tc>
          <w:tcPr>
            <w:tcW w:w="5078" w:type="dxa"/>
            <w:noWrap w:val="0"/>
            <w:vAlign w:val="center"/>
          </w:tcPr>
          <w:p w14:paraId="02E6F753">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服务区域</w:t>
            </w:r>
          </w:p>
        </w:tc>
        <w:tc>
          <w:tcPr>
            <w:tcW w:w="1279" w:type="dxa"/>
            <w:noWrap w:val="0"/>
            <w:vAlign w:val="center"/>
          </w:tcPr>
          <w:p w14:paraId="202F6CB7">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预算金额/元</w:t>
            </w:r>
          </w:p>
        </w:tc>
      </w:tr>
      <w:tr w14:paraId="35343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trPr>
        <w:tc>
          <w:tcPr>
            <w:tcW w:w="1006" w:type="dxa"/>
            <w:noWrap w:val="0"/>
            <w:vAlign w:val="center"/>
          </w:tcPr>
          <w:p w14:paraId="352F5C21">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标段一</w:t>
            </w:r>
          </w:p>
        </w:tc>
        <w:tc>
          <w:tcPr>
            <w:tcW w:w="1793" w:type="dxa"/>
            <w:noWrap w:val="0"/>
            <w:vAlign w:val="center"/>
          </w:tcPr>
          <w:p w14:paraId="16F04E5A">
            <w:pPr>
              <w:spacing w:line="360" w:lineRule="auto"/>
              <w:jc w:val="center"/>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eastAsia="zh-CN"/>
              </w:rPr>
              <w:t>建设项目环评和危废发证技术评估</w:t>
            </w:r>
          </w:p>
        </w:tc>
        <w:tc>
          <w:tcPr>
            <w:tcW w:w="5078" w:type="dxa"/>
            <w:noWrap w:val="0"/>
            <w:vAlign w:val="center"/>
          </w:tcPr>
          <w:p w14:paraId="5D1F8CA5">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港区（</w:t>
            </w:r>
            <w:r>
              <w:rPr>
                <w:rFonts w:hint="eastAsia" w:ascii="宋体" w:hAnsi="宋体" w:cs="宋体"/>
                <w:color w:val="auto"/>
                <w:sz w:val="24"/>
                <w:szCs w:val="24"/>
                <w:highlight w:val="none"/>
                <w:lang w:val="en-US" w:eastAsia="zh-CN"/>
              </w:rPr>
              <w:t>南环路</w:t>
            </w:r>
            <w:r>
              <w:rPr>
                <w:rFonts w:hint="eastAsia" w:ascii="宋体" w:hAnsi="宋体" w:eastAsia="宋体" w:cs="宋体"/>
                <w:color w:val="auto"/>
                <w:sz w:val="24"/>
                <w:szCs w:val="24"/>
                <w:highlight w:val="none"/>
                <w:lang w:eastAsia="zh-CN"/>
              </w:rPr>
              <w:t>以南</w:t>
            </w:r>
            <w:r>
              <w:rPr>
                <w:rFonts w:hint="eastAsia" w:ascii="宋体" w:hAnsi="宋体" w:eastAsia="宋体" w:cs="宋体"/>
                <w:color w:val="auto"/>
                <w:sz w:val="24"/>
                <w:szCs w:val="24"/>
                <w:highlight w:val="none"/>
                <w:lang w:val="en-US" w:eastAsia="zh-CN"/>
              </w:rPr>
              <w:t>区域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内的</w:t>
            </w:r>
            <w:r>
              <w:rPr>
                <w:rFonts w:hint="eastAsia" w:ascii="宋体" w:hAnsi="宋体" w:eastAsia="宋体" w:cs="宋体"/>
                <w:color w:val="auto"/>
                <w:kern w:val="0"/>
                <w:sz w:val="24"/>
                <w:szCs w:val="24"/>
                <w:highlight w:val="none"/>
                <w:lang w:eastAsia="zh-CN"/>
              </w:rPr>
              <w:t>建设项目环评和危废发证技术评估</w:t>
            </w:r>
          </w:p>
        </w:tc>
        <w:tc>
          <w:tcPr>
            <w:tcW w:w="1279" w:type="dxa"/>
            <w:noWrap w:val="0"/>
            <w:vAlign w:val="center"/>
          </w:tcPr>
          <w:p w14:paraId="25FCCFB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0000</w:t>
            </w:r>
          </w:p>
        </w:tc>
      </w:tr>
      <w:tr w14:paraId="37312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5" w:hRule="atLeast"/>
        </w:trPr>
        <w:tc>
          <w:tcPr>
            <w:tcW w:w="1006" w:type="dxa"/>
            <w:noWrap w:val="0"/>
            <w:vAlign w:val="center"/>
          </w:tcPr>
          <w:p w14:paraId="4901CED3">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标段二</w:t>
            </w:r>
          </w:p>
        </w:tc>
        <w:tc>
          <w:tcPr>
            <w:tcW w:w="1793" w:type="dxa"/>
            <w:noWrap w:val="0"/>
            <w:vAlign w:val="center"/>
          </w:tcPr>
          <w:p w14:paraId="0C6E73E3">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color w:val="auto"/>
                <w:kern w:val="0"/>
                <w:sz w:val="24"/>
                <w:szCs w:val="24"/>
                <w:highlight w:val="none"/>
                <w:lang w:eastAsia="zh-CN"/>
              </w:rPr>
              <w:t>建设项目环评和危废发证技术评估</w:t>
            </w:r>
          </w:p>
        </w:tc>
        <w:tc>
          <w:tcPr>
            <w:tcW w:w="5078" w:type="dxa"/>
            <w:noWrap w:val="0"/>
            <w:vAlign w:val="center"/>
          </w:tcPr>
          <w:p w14:paraId="6426AD13">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eastAsia="zh-CN"/>
              </w:rPr>
              <w:t>港区（</w:t>
            </w:r>
            <w:r>
              <w:rPr>
                <w:rFonts w:hint="eastAsia" w:ascii="宋体" w:hAnsi="宋体" w:cs="宋体"/>
                <w:color w:val="auto"/>
                <w:sz w:val="24"/>
                <w:szCs w:val="24"/>
                <w:highlight w:val="none"/>
                <w:lang w:val="en-US" w:eastAsia="zh-CN"/>
              </w:rPr>
              <w:t>南环路</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北区域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内的</w:t>
            </w:r>
            <w:r>
              <w:rPr>
                <w:rFonts w:hint="eastAsia" w:ascii="宋体" w:hAnsi="宋体" w:eastAsia="宋体" w:cs="宋体"/>
                <w:color w:val="auto"/>
                <w:kern w:val="0"/>
                <w:sz w:val="24"/>
                <w:szCs w:val="24"/>
                <w:highlight w:val="none"/>
                <w:lang w:eastAsia="zh-CN"/>
              </w:rPr>
              <w:t>建设项目环评和危废发证技术评估</w:t>
            </w:r>
          </w:p>
        </w:tc>
        <w:tc>
          <w:tcPr>
            <w:tcW w:w="1279" w:type="dxa"/>
            <w:noWrap w:val="0"/>
            <w:vAlign w:val="center"/>
          </w:tcPr>
          <w:p w14:paraId="1A2A7BC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0000</w:t>
            </w:r>
          </w:p>
        </w:tc>
      </w:tr>
    </w:tbl>
    <w:p w14:paraId="357203D6">
      <w:pPr>
        <w:spacing w:line="360" w:lineRule="auto"/>
        <w:ind w:right="178"/>
        <w:rPr>
          <w:rFonts w:hint="eastAsia" w:ascii="宋体" w:hAnsi="宋体"/>
          <w:b/>
          <w:color w:val="auto"/>
          <w:szCs w:val="21"/>
          <w:highlight w:val="none"/>
        </w:rPr>
      </w:pPr>
    </w:p>
    <w:p w14:paraId="316C8739">
      <w:pPr>
        <w:spacing w:line="360" w:lineRule="auto"/>
        <w:ind w:right="178"/>
        <w:rPr>
          <w:rFonts w:hint="eastAsia" w:ascii="宋体" w:hAnsi="宋体"/>
          <w:b/>
          <w:color w:val="auto"/>
          <w:szCs w:val="21"/>
          <w:highlight w:val="none"/>
        </w:rPr>
      </w:pPr>
    </w:p>
    <w:p w14:paraId="5719245E">
      <w:pPr>
        <w:spacing w:line="360" w:lineRule="auto"/>
        <w:ind w:right="178"/>
        <w:rPr>
          <w:rFonts w:hint="eastAsia" w:ascii="宋体" w:hAnsi="宋体"/>
          <w:b/>
          <w:color w:val="auto"/>
          <w:sz w:val="24"/>
          <w:szCs w:val="24"/>
          <w:highlight w:val="none"/>
        </w:rPr>
      </w:pPr>
      <w:r>
        <w:rPr>
          <w:rFonts w:hint="eastAsia" w:ascii="宋体" w:hAnsi="宋体"/>
          <w:b/>
          <w:color w:val="auto"/>
          <w:sz w:val="24"/>
          <w:szCs w:val="24"/>
          <w:highlight w:val="none"/>
        </w:rPr>
        <w:t>注：①评标顺序按照</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一、</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二进行</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投标人可选择二个</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中一个或多个</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投报，但最多只能在一个</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中标。已中标的投标人不再计入其他</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的供应商数量且不参与其他</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评审。</w:t>
      </w:r>
    </w:p>
    <w:p w14:paraId="5EFBC21F">
      <w:pPr>
        <w:spacing w:line="360" w:lineRule="auto"/>
        <w:ind w:right="178"/>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②原则上中标的投标人负责相应的服务区域，特殊情况或项目根据需要由采购方确定。</w:t>
      </w:r>
    </w:p>
    <w:p w14:paraId="77C85E64">
      <w:pPr>
        <w:spacing w:line="360" w:lineRule="auto"/>
        <w:ind w:right="178"/>
        <w:rPr>
          <w:rFonts w:hint="eastAsia" w:ascii="宋体" w:hAnsi="宋体"/>
          <w:b/>
          <w:color w:val="auto"/>
          <w:sz w:val="24"/>
          <w:szCs w:val="24"/>
          <w:highlight w:val="none"/>
        </w:rPr>
      </w:pPr>
      <w:r>
        <w:rPr>
          <w:rFonts w:hint="eastAsia" w:ascii="宋体" w:hAnsi="宋体"/>
          <w:b/>
          <w:color w:val="auto"/>
          <w:sz w:val="24"/>
          <w:szCs w:val="24"/>
          <w:highlight w:val="none"/>
        </w:rPr>
        <w:t>③投标人的报价不得超过每包的预算金额，否则作无效投标。</w:t>
      </w:r>
    </w:p>
    <w:p w14:paraId="3BA3D62D">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6、采购方式：公开招标 </w:t>
      </w:r>
    </w:p>
    <w:p w14:paraId="45FAC254">
      <w:pPr>
        <w:keepNext w:val="0"/>
        <w:keepLines w:val="0"/>
        <w:pageBreakBefore w:val="0"/>
        <w:kinsoku/>
        <w:wordWrap/>
        <w:overflowPunct/>
        <w:topLinePunct w:val="0"/>
        <w:autoSpaceDE/>
        <w:autoSpaceDN/>
        <w:bidi w:val="0"/>
        <w:adjustRightInd w:val="0"/>
        <w:snapToGrid w:val="0"/>
        <w:spacing w:line="360" w:lineRule="auto"/>
        <w:ind w:right="0" w:rightChars="0" w:firstLine="512"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pacing w:val="8"/>
          <w:kern w:val="0"/>
          <w:sz w:val="24"/>
          <w:szCs w:val="24"/>
          <w:highlight w:val="none"/>
          <w:lang w:val="en-US" w:eastAsia="zh-CN"/>
        </w:rPr>
        <w:t>7</w:t>
      </w:r>
      <w:r>
        <w:rPr>
          <w:rFonts w:hint="eastAsia" w:ascii="宋体" w:hAnsi="宋体" w:cs="宋体"/>
          <w:color w:val="auto"/>
          <w:spacing w:val="8"/>
          <w:kern w:val="0"/>
          <w:sz w:val="24"/>
          <w:szCs w:val="24"/>
          <w:highlight w:val="none"/>
        </w:rPr>
        <w:t>、</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w:t>
      </w:r>
      <w:r>
        <w:rPr>
          <w:rFonts w:hint="eastAsia" w:ascii="宋体" w:hAnsi="宋体" w:cs="宋体"/>
          <w:color w:val="auto"/>
          <w:sz w:val="24"/>
          <w:szCs w:val="24"/>
          <w:highlight w:val="none"/>
          <w:lang w:val="en-US" w:eastAsia="zh-CN"/>
        </w:rPr>
        <w:t>自合同签订之日起至</w:t>
      </w:r>
      <w:r>
        <w:rPr>
          <w:rFonts w:hint="eastAsia" w:ascii="宋体" w:hAnsi="宋体" w:eastAsia="宋体" w:cs="宋体"/>
          <w:color w:val="auto"/>
          <w:sz w:val="24"/>
          <w:szCs w:val="24"/>
          <w:highlight w:val="none"/>
        </w:rPr>
        <w:t>2026年12月31日</w:t>
      </w:r>
      <w:r>
        <w:rPr>
          <w:rFonts w:hint="eastAsia" w:ascii="宋体" w:hAnsi="宋体" w:eastAsia="宋体" w:cs="宋体"/>
          <w:color w:val="auto"/>
          <w:sz w:val="24"/>
          <w:szCs w:val="24"/>
          <w:highlight w:val="none"/>
          <w:shd w:val="clear" w:color="auto" w:fill="FFFFFF"/>
          <w:lang w:bidi="ar"/>
        </w:rPr>
        <w:t>。</w:t>
      </w:r>
    </w:p>
    <w:p w14:paraId="2A9D8665">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8</w:t>
      </w:r>
      <w:r>
        <w:rPr>
          <w:rFonts w:hint="eastAsia" w:ascii="宋体" w:hAnsi="宋体" w:cs="宋体"/>
          <w:color w:val="auto"/>
          <w:sz w:val="24"/>
          <w:szCs w:val="24"/>
          <w:highlight w:val="none"/>
          <w:shd w:val="clear" w:color="auto" w:fill="FFFFFF"/>
          <w:lang w:bidi="ar"/>
        </w:rPr>
        <w:t>、采购需求：</w:t>
      </w:r>
      <w:r>
        <w:rPr>
          <w:rFonts w:hint="eastAsia" w:ascii="宋体" w:hAnsi="宋体" w:cs="宋体"/>
          <w:color w:val="auto"/>
          <w:sz w:val="24"/>
          <w:szCs w:val="24"/>
          <w:highlight w:val="none"/>
          <w:shd w:val="clear" w:color="auto" w:fill="FFFFFF"/>
          <w:lang w:eastAsia="zh-CN" w:bidi="ar"/>
        </w:rPr>
        <w:t>2026年度港区建设项目环评和危废发证技术评估</w:t>
      </w:r>
      <w:r>
        <w:rPr>
          <w:rFonts w:hint="eastAsia" w:ascii="宋体" w:hAnsi="宋体" w:cs="宋体"/>
          <w:color w:val="auto"/>
          <w:sz w:val="24"/>
          <w:szCs w:val="24"/>
          <w:highlight w:val="none"/>
          <w:shd w:val="clear" w:color="auto" w:fill="FFFFFF"/>
          <w:lang w:val="en-US" w:eastAsia="zh-CN" w:bidi="ar"/>
        </w:rPr>
        <w:t>，包括但不限于1、环境影响报告书技术评估与审查；2、环境影响报告表技术评估与审查；3、环境影响报告表函审；4、危废处置单位经营许可证技术评估与审查；因项目审批有时限要求，需两家单位协同配合，具体要求详见第三部分项目需求。</w:t>
      </w:r>
    </w:p>
    <w:p w14:paraId="71ED976E">
      <w:pPr>
        <w:widowControl/>
        <w:adjustRightInd w:val="0"/>
        <w:snapToGrid w:val="0"/>
        <w:spacing w:line="360" w:lineRule="auto"/>
        <w:jc w:val="left"/>
        <w:rPr>
          <w:color w:val="auto"/>
          <w:highlight w:val="none"/>
        </w:rPr>
      </w:pPr>
      <w:r>
        <w:rPr>
          <w:rFonts w:hint="eastAsia" w:ascii="宋体" w:hAnsi="宋体" w:cs="宋体"/>
          <w:b/>
          <w:color w:val="auto"/>
          <w:sz w:val="24"/>
          <w:szCs w:val="24"/>
          <w:highlight w:val="none"/>
          <w:shd w:val="clear" w:color="auto" w:fill="FFFFFF"/>
          <w:lang w:bidi="ar"/>
        </w:rPr>
        <w:t xml:space="preserve">二、申请人的资格要求： </w:t>
      </w:r>
    </w:p>
    <w:p w14:paraId="4C2AF152">
      <w:pPr>
        <w:widowControl/>
        <w:adjustRightInd w:val="0"/>
        <w:snapToGrid w:val="0"/>
        <w:spacing w:line="360" w:lineRule="auto"/>
        <w:jc w:val="left"/>
        <w:rPr>
          <w:color w:val="auto"/>
          <w:highlight w:val="none"/>
        </w:rPr>
      </w:pPr>
      <w:r>
        <w:rPr>
          <w:rFonts w:hint="eastAsia" w:ascii="宋体" w:hAnsi="宋体" w:cs="宋体"/>
          <w:color w:val="auto"/>
          <w:sz w:val="24"/>
          <w:szCs w:val="24"/>
          <w:highlight w:val="none"/>
          <w:shd w:val="clear" w:color="auto" w:fill="FFFFFF"/>
          <w:lang w:bidi="ar"/>
        </w:rPr>
        <w:t xml:space="preserve">（一）满足《中华人民共和国政府采购法》第二十二条规定 </w:t>
      </w:r>
    </w:p>
    <w:p w14:paraId="01429B21">
      <w:pPr>
        <w:overflowPunct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1、</w:t>
      </w:r>
      <w:r>
        <w:rPr>
          <w:rFonts w:hint="eastAsia" w:ascii="宋体" w:hAnsi="宋体" w:cs="宋体"/>
          <w:color w:val="auto"/>
          <w:sz w:val="24"/>
          <w:szCs w:val="24"/>
          <w:highlight w:val="none"/>
          <w:shd w:val="clear" w:color="auto" w:fill="FFFFFF"/>
        </w:rPr>
        <w:t>具有独立承担民事责任的能力</w:t>
      </w:r>
      <w:r>
        <w:rPr>
          <w:rFonts w:hint="eastAsia" w:ascii="宋体" w:hAnsi="宋体" w:cs="宋体"/>
          <w:color w:val="auto"/>
          <w:kern w:val="0"/>
          <w:sz w:val="24"/>
          <w:szCs w:val="24"/>
          <w:highlight w:val="none"/>
          <w:lang w:bidi="ar"/>
        </w:rPr>
        <w:t>（提供法人或者其他组织的营业执照等证明文件，自然人的身份证明）</w:t>
      </w:r>
      <w:r>
        <w:rPr>
          <w:rFonts w:hint="eastAsia" w:ascii="宋体" w:hAnsi="宋体" w:cs="宋体"/>
          <w:color w:val="auto"/>
          <w:sz w:val="24"/>
          <w:szCs w:val="24"/>
          <w:highlight w:val="none"/>
          <w:lang w:eastAsia="zh-CN"/>
        </w:rPr>
        <w:t>。</w:t>
      </w:r>
    </w:p>
    <w:p w14:paraId="4965FA0A">
      <w:pPr>
        <w:overflowPunct w:val="0"/>
        <w:spacing w:line="360" w:lineRule="auto"/>
        <w:ind w:firstLine="480" w:firstLineChars="200"/>
        <w:jc w:val="left"/>
        <w:rPr>
          <w:rFonts w:hint="eastAsia" w:ascii="宋体" w:hAnsi="宋体" w:eastAsia="宋体" w:cs="宋体"/>
          <w:color w:val="auto"/>
          <w:kern w:val="0"/>
          <w:sz w:val="24"/>
          <w:szCs w:val="24"/>
          <w:highlight w:val="none"/>
          <w:lang w:eastAsia="zh-CN" w:bidi="ar"/>
        </w:rPr>
      </w:pPr>
      <w:r>
        <w:rPr>
          <w:rFonts w:hint="eastAsia" w:ascii="宋体" w:hAnsi="宋体" w:cs="宋体"/>
          <w:color w:val="auto"/>
          <w:sz w:val="24"/>
          <w:szCs w:val="24"/>
          <w:highlight w:val="none"/>
          <w:shd w:val="clear" w:color="auto" w:fill="FFFFFF"/>
        </w:rPr>
        <w:t>2、具有良好的商业信誉和健全的财务会计制度</w:t>
      </w:r>
      <w:r>
        <w:rPr>
          <w:rFonts w:hint="eastAsia" w:ascii="宋体" w:hAnsi="宋体" w:cs="宋体"/>
          <w:color w:val="auto"/>
          <w:kern w:val="0"/>
          <w:sz w:val="24"/>
          <w:szCs w:val="24"/>
          <w:highlight w:val="none"/>
          <w:lang w:bidi="ar"/>
        </w:rPr>
        <w:t>（提供最近一期的财务状况报告，其他组织、自然人提供银行出具的资信证明）</w:t>
      </w:r>
      <w:r>
        <w:rPr>
          <w:rFonts w:hint="eastAsia" w:ascii="宋体" w:hAnsi="宋体" w:cs="宋体"/>
          <w:color w:val="auto"/>
          <w:kern w:val="0"/>
          <w:sz w:val="24"/>
          <w:szCs w:val="24"/>
          <w:highlight w:val="none"/>
          <w:lang w:eastAsia="zh-CN" w:bidi="ar"/>
        </w:rPr>
        <w:t>。</w:t>
      </w:r>
    </w:p>
    <w:p w14:paraId="3EBB85A7">
      <w:pPr>
        <w:overflowPunct w:val="0"/>
        <w:spacing w:line="360" w:lineRule="auto"/>
        <w:ind w:firstLine="480" w:firstLineChars="200"/>
        <w:jc w:val="left"/>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3、具有履行合同所必需的设备和专业技术能力</w:t>
      </w:r>
      <w:r>
        <w:rPr>
          <w:rFonts w:hint="eastAsia" w:ascii="宋体" w:hAnsi="宋体" w:cs="宋体"/>
          <w:color w:val="auto"/>
          <w:kern w:val="0"/>
          <w:sz w:val="24"/>
          <w:szCs w:val="24"/>
          <w:highlight w:val="none"/>
          <w:lang w:bidi="ar"/>
        </w:rPr>
        <w:t>（提供履行合同所必需的设备和专业技术能力的证明材料）</w:t>
      </w:r>
      <w:r>
        <w:rPr>
          <w:rFonts w:hint="eastAsia" w:ascii="宋体" w:hAnsi="宋体" w:cs="宋体"/>
          <w:color w:val="auto"/>
          <w:kern w:val="0"/>
          <w:sz w:val="24"/>
          <w:szCs w:val="24"/>
          <w:highlight w:val="none"/>
          <w:lang w:eastAsia="zh-CN" w:bidi="ar"/>
        </w:rPr>
        <w:t>。</w:t>
      </w:r>
    </w:p>
    <w:p w14:paraId="423B116D">
      <w:pPr>
        <w:overflowPunct w:val="0"/>
        <w:spacing w:line="360" w:lineRule="auto"/>
        <w:ind w:firstLine="480" w:firstLineChars="200"/>
        <w:jc w:val="left"/>
        <w:rPr>
          <w:rFonts w:hint="eastAsia" w:ascii="宋体" w:hAnsi="宋体" w:eastAsia="宋体" w:cs="宋体"/>
          <w:color w:val="auto"/>
          <w:kern w:val="0"/>
          <w:sz w:val="24"/>
          <w:szCs w:val="24"/>
          <w:highlight w:val="none"/>
          <w:lang w:eastAsia="zh-CN" w:bidi="ar"/>
        </w:rPr>
      </w:pPr>
      <w:r>
        <w:rPr>
          <w:rFonts w:hint="eastAsia" w:ascii="宋体" w:hAnsi="宋体" w:cs="宋体"/>
          <w:color w:val="auto"/>
          <w:sz w:val="24"/>
          <w:szCs w:val="24"/>
          <w:highlight w:val="none"/>
          <w:shd w:val="clear" w:color="auto" w:fill="FFFFFF"/>
        </w:rPr>
        <w:t>4、有依法缴纳税收和社会保障资金的良好记录</w:t>
      </w:r>
      <w:r>
        <w:rPr>
          <w:rFonts w:hint="eastAsia" w:ascii="宋体" w:hAnsi="宋体" w:cs="宋体"/>
          <w:color w:val="auto"/>
          <w:kern w:val="0"/>
          <w:sz w:val="24"/>
          <w:szCs w:val="24"/>
          <w:highlight w:val="none"/>
          <w:lang w:bidi="ar"/>
        </w:rPr>
        <w:t>（提供参加本次采购活动前半年（至少一个月）依法缴纳税收和社会保障资金的证明材料，依法免税或不需要缴纳社会保障资金的，提供相关证明文件）</w:t>
      </w:r>
      <w:r>
        <w:rPr>
          <w:rFonts w:hint="eastAsia" w:ascii="宋体" w:hAnsi="宋体" w:cs="宋体"/>
          <w:color w:val="auto"/>
          <w:kern w:val="0"/>
          <w:sz w:val="24"/>
          <w:szCs w:val="24"/>
          <w:highlight w:val="none"/>
          <w:lang w:eastAsia="zh-CN" w:bidi="ar"/>
        </w:rPr>
        <w:t>。</w:t>
      </w:r>
    </w:p>
    <w:p w14:paraId="666D98C2">
      <w:pPr>
        <w:overflowPunct w:val="0"/>
        <w:spacing w:line="360" w:lineRule="auto"/>
        <w:ind w:firstLine="480" w:firstLineChars="200"/>
        <w:jc w:val="left"/>
        <w:rPr>
          <w:rFonts w:hint="eastAsia" w:ascii="宋体" w:hAnsi="宋体" w:eastAsia="宋体" w:cs="宋体"/>
          <w:color w:val="auto"/>
          <w:kern w:val="0"/>
          <w:sz w:val="24"/>
          <w:szCs w:val="24"/>
          <w:highlight w:val="none"/>
          <w:lang w:eastAsia="zh-CN" w:bidi="ar"/>
        </w:rPr>
      </w:pPr>
      <w:r>
        <w:rPr>
          <w:rFonts w:hint="eastAsia" w:ascii="宋体" w:hAnsi="宋体" w:cs="宋体"/>
          <w:color w:val="auto"/>
          <w:sz w:val="24"/>
          <w:szCs w:val="24"/>
          <w:highlight w:val="none"/>
          <w:shd w:val="clear" w:color="auto" w:fill="FFFFFF"/>
        </w:rPr>
        <w:t>5、参加政府采购活动前三年内，在经营活动中没有重大违法记录</w:t>
      </w:r>
      <w:r>
        <w:rPr>
          <w:rFonts w:hint="eastAsia" w:ascii="宋体" w:hAnsi="宋体" w:cs="宋体"/>
          <w:color w:val="auto"/>
          <w:kern w:val="0"/>
          <w:sz w:val="24"/>
          <w:szCs w:val="24"/>
          <w:highlight w:val="none"/>
          <w:lang w:bidi="ar"/>
        </w:rPr>
        <w:t>（提供参加本次政府采购活动前3年内在经营活动中没有重大违法记录的书面声明）</w:t>
      </w:r>
      <w:r>
        <w:rPr>
          <w:rFonts w:hint="eastAsia" w:ascii="宋体" w:hAnsi="宋体" w:eastAsia="宋体" w:cs="宋体"/>
          <w:color w:val="auto"/>
          <w:sz w:val="24"/>
          <w:szCs w:val="24"/>
          <w:highlight w:val="none"/>
        </w:rPr>
        <w:t>（格式附后）</w:t>
      </w:r>
      <w:r>
        <w:rPr>
          <w:rFonts w:hint="eastAsia" w:ascii="宋体" w:hAnsi="宋体" w:cs="宋体"/>
          <w:color w:val="auto"/>
          <w:kern w:val="0"/>
          <w:sz w:val="24"/>
          <w:szCs w:val="24"/>
          <w:highlight w:val="none"/>
          <w:lang w:eastAsia="zh-CN" w:bidi="ar"/>
        </w:rPr>
        <w:t>。</w:t>
      </w:r>
    </w:p>
    <w:p w14:paraId="6A4B7D46">
      <w:pPr>
        <w:keepNext w:val="0"/>
        <w:keepLines w:val="0"/>
        <w:pageBreakBefore w:val="0"/>
        <w:kinsoku/>
        <w:wordWrap/>
        <w:overflowPunct w:val="0"/>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6、法律、行政法规规定的其他条件</w:t>
      </w:r>
      <w:r>
        <w:rPr>
          <w:rFonts w:hint="eastAsia" w:ascii="宋体" w:hAnsi="宋体" w:cs="宋体"/>
          <w:color w:val="auto"/>
          <w:sz w:val="24"/>
          <w:szCs w:val="24"/>
          <w:highlight w:val="none"/>
          <w:shd w:val="clear" w:color="auto" w:fill="FFFFFF"/>
          <w:lang w:eastAsia="zh-CN"/>
        </w:rPr>
        <w:t>。</w:t>
      </w:r>
    </w:p>
    <w:p w14:paraId="58AB6456">
      <w:pPr>
        <w:keepNext w:val="0"/>
        <w:keepLines w:val="0"/>
        <w:pageBreakBefore w:val="0"/>
        <w:kinsoku/>
        <w:wordWrap/>
        <w:topLinePunct w:val="0"/>
        <w:autoSpaceDE/>
        <w:autoSpaceDN/>
        <w:bidi w:val="0"/>
        <w:adjustRightInd/>
        <w:snapToGrid/>
        <w:spacing w:line="360" w:lineRule="auto"/>
        <w:jc w:val="left"/>
        <w:textAlignment w:val="auto"/>
        <w:rPr>
          <w:rFonts w:ascii="宋体" w:hAnsi="宋体" w:cs="宋体"/>
          <w:b/>
          <w:bCs/>
          <w:color w:val="auto"/>
          <w:sz w:val="24"/>
          <w:szCs w:val="24"/>
          <w:highlight w:val="none"/>
          <w:shd w:val="clear" w:color="auto" w:fill="FFFFFF"/>
          <w:lang w:bidi="ar"/>
        </w:rPr>
      </w:pPr>
      <w:r>
        <w:rPr>
          <w:rFonts w:hint="eastAsia" w:ascii="宋体" w:hAnsi="宋体" w:cs="宋体"/>
          <w:b/>
          <w:bCs/>
          <w:color w:val="auto"/>
          <w:sz w:val="24"/>
          <w:szCs w:val="24"/>
          <w:highlight w:val="none"/>
          <w:shd w:val="clear" w:color="auto" w:fill="FFFFFF"/>
          <w:lang w:bidi="ar"/>
        </w:rPr>
        <w:t>（二）落实政府采购政策需满足的资格要求：</w:t>
      </w:r>
    </w:p>
    <w:p w14:paraId="2C308A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本项目专门面向中小企业采购，投标人必须提供《中小企业声明函》或《残疾人福利性单位声明函》或由省级以上监狱管理局、戒毒管理局（含新疆生产建设兵团）出具的属于监狱企业的证明文件。</w:t>
      </w:r>
    </w:p>
    <w:p w14:paraId="6EFA8701">
      <w:pPr>
        <w:adjustRightInd w:val="0"/>
        <w:snapToGrid w:val="0"/>
        <w:spacing w:line="360" w:lineRule="auto"/>
        <w:jc w:val="left"/>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（三）本项目的特定资格要求：</w:t>
      </w:r>
    </w:p>
    <w:p w14:paraId="078D552B">
      <w:pPr>
        <w:widowControl/>
        <w:adjustRightInd w:val="0"/>
        <w:snapToGrid w:val="0"/>
        <w:spacing w:line="360" w:lineRule="auto"/>
        <w:jc w:val="left"/>
        <w:rPr>
          <w:rFonts w:hint="eastAsia" w:ascii="宋体" w:hAnsi="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无</w:t>
      </w:r>
    </w:p>
    <w:p w14:paraId="5F4A05BC">
      <w:pPr>
        <w:widowControl/>
        <w:adjustRightInd w:val="0"/>
        <w:snapToGrid w:val="0"/>
        <w:spacing w:line="360" w:lineRule="auto"/>
        <w:jc w:val="left"/>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（四）本项目不接受联合体投标。 </w:t>
      </w:r>
    </w:p>
    <w:p w14:paraId="3D9A5C5F">
      <w:pPr>
        <w:widowControl/>
        <w:adjustRightInd w:val="0"/>
        <w:snapToGrid w:val="0"/>
        <w:spacing w:line="360" w:lineRule="auto"/>
        <w:jc w:val="left"/>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eastAsia="zh-CN" w:bidi="ar"/>
        </w:rPr>
        <w:t>（</w:t>
      </w:r>
      <w:r>
        <w:rPr>
          <w:rFonts w:hint="eastAsia" w:ascii="宋体" w:hAnsi="宋体" w:cs="宋体"/>
          <w:color w:val="auto"/>
          <w:sz w:val="24"/>
          <w:szCs w:val="24"/>
          <w:highlight w:val="none"/>
          <w:shd w:val="clear" w:color="auto" w:fill="FFFFFF"/>
          <w:lang w:val="en-US" w:eastAsia="zh-CN" w:bidi="ar"/>
        </w:rPr>
        <w:t>五</w:t>
      </w:r>
      <w:r>
        <w:rPr>
          <w:rFonts w:hint="eastAsia" w:ascii="宋体" w:hAnsi="宋体" w:cs="宋体"/>
          <w:color w:val="auto"/>
          <w:sz w:val="24"/>
          <w:szCs w:val="24"/>
          <w:highlight w:val="none"/>
          <w:shd w:val="clear" w:color="auto" w:fill="FFFFFF"/>
          <w:lang w:eastAsia="zh-CN" w:bidi="ar"/>
        </w:rPr>
        <w:t>）本项目拒绝进口产品投标。</w:t>
      </w:r>
    </w:p>
    <w:p w14:paraId="3D36E96B">
      <w:pPr>
        <w:widowControl/>
        <w:adjustRightInd w:val="0"/>
        <w:snapToGrid w:val="0"/>
        <w:spacing w:line="360" w:lineRule="auto"/>
        <w:jc w:val="left"/>
        <w:rPr>
          <w:color w:val="auto"/>
          <w:highlight w:val="none"/>
        </w:rPr>
      </w:pPr>
      <w:r>
        <w:rPr>
          <w:rFonts w:hint="eastAsia" w:ascii="宋体" w:hAnsi="宋体" w:cs="宋体"/>
          <w:color w:val="auto"/>
          <w:sz w:val="24"/>
          <w:szCs w:val="24"/>
          <w:highlight w:val="none"/>
          <w:shd w:val="clear" w:color="auto" w:fill="FFFFFF"/>
          <w:lang w:bidi="ar"/>
        </w:rPr>
        <w:t>（</w:t>
      </w:r>
      <w:r>
        <w:rPr>
          <w:rFonts w:hint="eastAsia" w:ascii="宋体" w:hAnsi="宋体" w:cs="宋体"/>
          <w:color w:val="auto"/>
          <w:sz w:val="24"/>
          <w:szCs w:val="24"/>
          <w:highlight w:val="none"/>
          <w:shd w:val="clear" w:color="auto" w:fill="FFFFFF"/>
          <w:lang w:val="en-US" w:eastAsia="zh-CN" w:bidi="ar"/>
        </w:rPr>
        <w:t>六</w:t>
      </w:r>
      <w:r>
        <w:rPr>
          <w:rFonts w:hint="eastAsia" w:ascii="宋体" w:hAnsi="宋体" w:cs="宋体"/>
          <w:color w:val="auto"/>
          <w:sz w:val="24"/>
          <w:szCs w:val="24"/>
          <w:highlight w:val="none"/>
          <w:shd w:val="clear" w:color="auto" w:fill="FFFFFF"/>
          <w:lang w:bidi="ar"/>
        </w:rPr>
        <w:t xml:space="preserve">）拒绝下述供应商参加本次采购活动： </w:t>
      </w:r>
    </w:p>
    <w:p w14:paraId="0D0E171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1、供应商单位负责人为同一人或者存在直接控股、管理关系的不同供应商，不得参加同一合同项下的政府采购活动。</w:t>
      </w:r>
    </w:p>
    <w:p w14:paraId="3E70B9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2、凡为采购项目提供整体设计、规范编制或者项目管理、监理、检测等服务的供应商，不得再参加本项目的采购活动。</w:t>
      </w:r>
    </w:p>
    <w:p w14:paraId="1B0F0A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 xml:space="preserve">3、法人的分支机构不得参加投标（除银行、保险、石油石化、电力、电信等行业特殊情况外） </w:t>
      </w:r>
      <w:r>
        <w:rPr>
          <w:rFonts w:hint="eastAsia" w:ascii="宋体" w:hAnsi="宋体" w:cs="宋体"/>
          <w:color w:val="auto"/>
          <w:sz w:val="24"/>
          <w:szCs w:val="24"/>
          <w:highlight w:val="none"/>
          <w:shd w:val="clear" w:color="auto" w:fill="FFFFFF"/>
          <w:lang w:eastAsia="zh-CN" w:bidi="ar"/>
        </w:rPr>
        <w:t>。</w:t>
      </w:r>
    </w:p>
    <w:p w14:paraId="1B148471">
      <w:pPr>
        <w:widowControl w:val="0"/>
        <w:spacing w:line="360" w:lineRule="auto"/>
        <w:ind w:firstLine="480"/>
        <w:jc w:val="left"/>
        <w:rPr>
          <w:rFonts w:hint="eastAsia" w:ascii="宋体" w:hAnsi="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val="en-US" w:eastAsia="en-US" w:bidi="ar"/>
        </w:rPr>
        <w:t>4、未被“信用中国”网站（www.creditchina.gov.cn）列入失信被执行人、重大税收违法案件当事人名单、政府采购严重失信行为记录名单。</w:t>
      </w:r>
    </w:p>
    <w:p w14:paraId="466EDA7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ajorEastAsia" w:hAnsiTheme="majorEastAsia" w:eastAsiaTheme="majorEastAsia"/>
          <w:b/>
          <w:color w:val="auto"/>
          <w:sz w:val="24"/>
          <w:szCs w:val="24"/>
          <w:highlight w:val="none"/>
        </w:rPr>
      </w:pPr>
      <w:r>
        <w:rPr>
          <w:rFonts w:hint="eastAsia" w:cs="Times New Roman"/>
          <w:color w:val="auto"/>
          <w:sz w:val="24"/>
          <w:szCs w:val="24"/>
          <w:highlight w:val="none"/>
          <w:shd w:val="clear" w:color="auto" w:fill="FFFFFF"/>
          <w:lang w:val="en-US" w:eastAsia="zh-CN" w:bidi="ar"/>
        </w:rPr>
        <w:t>5</w:t>
      </w:r>
      <w:r>
        <w:rPr>
          <w:rFonts w:hint="default" w:ascii="Times New Roman" w:hAnsi="Times New Roman" w:cs="Times New Roman"/>
          <w:color w:val="auto"/>
          <w:sz w:val="24"/>
          <w:szCs w:val="24"/>
          <w:highlight w:val="none"/>
          <w:shd w:val="clear" w:color="auto" w:fill="FFFFFF"/>
          <w:lang w:bidi="ar"/>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3A31872">
      <w:pPr>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三、获取招标文件：</w:t>
      </w:r>
    </w:p>
    <w:p w14:paraId="41D1F6A2">
      <w:pPr>
        <w:pBdr>
          <w:top w:val="none" w:color="000000" w:sz="0" w:space="0"/>
          <w:left w:val="none" w:color="000000" w:sz="0" w:space="0"/>
          <w:bottom w:val="none" w:color="000000" w:sz="0" w:space="0"/>
          <w:right w:val="none" w:color="000000" w:sz="0" w:space="0"/>
        </w:pBdr>
        <w:spacing w:line="360" w:lineRule="auto"/>
        <w:ind w:firstLine="482"/>
        <w:rPr>
          <w:rFonts w:hint="eastAsia" w:asciiTheme="majorEastAsia" w:hAnsiTheme="majorEastAsia" w:eastAsiaTheme="majorEastAsia"/>
          <w:b w:val="0"/>
          <w:bCs w:val="0"/>
          <w:color w:val="auto"/>
          <w:sz w:val="24"/>
          <w:szCs w:val="24"/>
          <w:highlight w:val="none"/>
        </w:rPr>
      </w:pPr>
      <w:r>
        <w:rPr>
          <w:rFonts w:hint="eastAsia" w:asciiTheme="majorEastAsia" w:hAnsiTheme="majorEastAsia" w:eastAsiaTheme="majorEastAsia"/>
          <w:bCs/>
          <w:color w:val="auto"/>
          <w:sz w:val="24"/>
          <w:szCs w:val="24"/>
          <w:highlight w:val="none"/>
        </w:rPr>
        <w:t>1、依法获取电子招标文件：投标人在</w:t>
      </w:r>
      <w:r>
        <w:rPr>
          <w:rFonts w:hint="eastAsia" w:asciiTheme="majorEastAsia" w:hAnsiTheme="majorEastAsia" w:eastAsiaTheme="majorEastAsia"/>
          <w:b w:val="0"/>
          <w:bCs w:val="0"/>
          <w:color w:val="auto"/>
          <w:sz w:val="24"/>
          <w:szCs w:val="24"/>
          <w:highlight w:val="none"/>
          <w:u w:val="single"/>
        </w:rPr>
        <w:t>202</w:t>
      </w:r>
      <w:r>
        <w:rPr>
          <w:rFonts w:hint="eastAsia" w:asciiTheme="majorEastAsia" w:hAnsiTheme="majorEastAsia" w:eastAsiaTheme="majorEastAsia"/>
          <w:b w:val="0"/>
          <w:bCs w:val="0"/>
          <w:color w:val="auto"/>
          <w:sz w:val="24"/>
          <w:szCs w:val="24"/>
          <w:highlight w:val="none"/>
          <w:u w:val="single"/>
          <w:lang w:val="en-US" w:eastAsia="zh-CN"/>
        </w:rPr>
        <w:t>6</w:t>
      </w:r>
      <w:r>
        <w:rPr>
          <w:rFonts w:hint="eastAsia" w:asciiTheme="majorEastAsia" w:hAnsiTheme="majorEastAsia" w:eastAsiaTheme="majorEastAsia"/>
          <w:b w:val="0"/>
          <w:bCs w:val="0"/>
          <w:color w:val="auto"/>
          <w:sz w:val="24"/>
          <w:szCs w:val="24"/>
          <w:highlight w:val="none"/>
          <w:u w:val="single"/>
        </w:rPr>
        <w:t>年</w:t>
      </w:r>
      <w:r>
        <w:rPr>
          <w:rFonts w:hint="eastAsia" w:asciiTheme="majorEastAsia" w:hAnsiTheme="majorEastAsia" w:eastAsiaTheme="majorEastAsia"/>
          <w:b w:val="0"/>
          <w:bCs w:val="0"/>
          <w:color w:val="auto"/>
          <w:sz w:val="24"/>
          <w:szCs w:val="24"/>
          <w:highlight w:val="none"/>
          <w:u w:val="single"/>
          <w:lang w:val="en-US" w:eastAsia="zh-CN"/>
        </w:rPr>
        <w:t>1</w:t>
      </w:r>
      <w:r>
        <w:rPr>
          <w:rFonts w:hint="eastAsia" w:asciiTheme="majorEastAsia" w:hAnsiTheme="majorEastAsia" w:eastAsiaTheme="majorEastAsia"/>
          <w:b w:val="0"/>
          <w:bCs w:val="0"/>
          <w:color w:val="auto"/>
          <w:sz w:val="24"/>
          <w:szCs w:val="24"/>
          <w:highlight w:val="none"/>
          <w:u w:val="single"/>
        </w:rPr>
        <w:t>月</w:t>
      </w:r>
      <w:r>
        <w:rPr>
          <w:rFonts w:hint="eastAsia" w:asciiTheme="majorEastAsia" w:hAnsiTheme="majorEastAsia" w:eastAsiaTheme="majorEastAsia"/>
          <w:b w:val="0"/>
          <w:bCs w:val="0"/>
          <w:color w:val="auto"/>
          <w:sz w:val="24"/>
          <w:szCs w:val="24"/>
          <w:highlight w:val="none"/>
          <w:u w:val="single"/>
          <w:lang w:val="en-US" w:eastAsia="zh-CN"/>
        </w:rPr>
        <w:t xml:space="preserve"> 12</w:t>
      </w:r>
      <w:r>
        <w:rPr>
          <w:rFonts w:hint="eastAsia" w:asciiTheme="majorEastAsia" w:hAnsiTheme="majorEastAsia" w:eastAsiaTheme="majorEastAsia"/>
          <w:b w:val="0"/>
          <w:bCs w:val="0"/>
          <w:color w:val="auto"/>
          <w:sz w:val="24"/>
          <w:szCs w:val="24"/>
          <w:highlight w:val="none"/>
          <w:u w:val="single"/>
        </w:rPr>
        <w:t>日至202</w:t>
      </w:r>
      <w:r>
        <w:rPr>
          <w:rFonts w:hint="eastAsia" w:asciiTheme="majorEastAsia" w:hAnsiTheme="majorEastAsia" w:eastAsiaTheme="majorEastAsia"/>
          <w:b w:val="0"/>
          <w:bCs w:val="0"/>
          <w:color w:val="auto"/>
          <w:sz w:val="24"/>
          <w:szCs w:val="24"/>
          <w:highlight w:val="none"/>
          <w:u w:val="single"/>
          <w:lang w:val="en-US" w:eastAsia="zh-CN"/>
        </w:rPr>
        <w:t>6</w:t>
      </w:r>
      <w:r>
        <w:rPr>
          <w:rFonts w:hint="eastAsia" w:asciiTheme="majorEastAsia" w:hAnsiTheme="majorEastAsia" w:eastAsiaTheme="majorEastAsia"/>
          <w:b w:val="0"/>
          <w:bCs w:val="0"/>
          <w:color w:val="auto"/>
          <w:sz w:val="24"/>
          <w:szCs w:val="24"/>
          <w:highlight w:val="none"/>
          <w:u w:val="single"/>
        </w:rPr>
        <w:t>年</w:t>
      </w:r>
      <w:r>
        <w:rPr>
          <w:rFonts w:hint="eastAsia" w:asciiTheme="majorEastAsia" w:hAnsiTheme="majorEastAsia" w:eastAsiaTheme="majorEastAsia"/>
          <w:b w:val="0"/>
          <w:bCs w:val="0"/>
          <w:color w:val="auto"/>
          <w:sz w:val="24"/>
          <w:szCs w:val="24"/>
          <w:highlight w:val="none"/>
          <w:u w:val="single"/>
          <w:lang w:val="en-US" w:eastAsia="zh-CN"/>
        </w:rPr>
        <w:t xml:space="preserve">1 </w:t>
      </w:r>
      <w:r>
        <w:rPr>
          <w:rFonts w:hint="eastAsia" w:asciiTheme="majorEastAsia" w:hAnsiTheme="majorEastAsia" w:eastAsiaTheme="majorEastAsia"/>
          <w:b w:val="0"/>
          <w:bCs w:val="0"/>
          <w:color w:val="auto"/>
          <w:sz w:val="24"/>
          <w:szCs w:val="24"/>
          <w:highlight w:val="none"/>
          <w:u w:val="single"/>
        </w:rPr>
        <w:t>月</w:t>
      </w:r>
      <w:r>
        <w:rPr>
          <w:rFonts w:hint="eastAsia" w:asciiTheme="majorEastAsia" w:hAnsiTheme="majorEastAsia" w:eastAsiaTheme="majorEastAsia"/>
          <w:b w:val="0"/>
          <w:bCs w:val="0"/>
          <w:color w:val="auto"/>
          <w:sz w:val="24"/>
          <w:szCs w:val="24"/>
          <w:highlight w:val="none"/>
          <w:u w:val="single"/>
          <w:lang w:val="en-US" w:eastAsia="zh-CN"/>
        </w:rPr>
        <w:t xml:space="preserve">20 </w:t>
      </w:r>
      <w:r>
        <w:rPr>
          <w:rFonts w:hint="eastAsia" w:asciiTheme="majorEastAsia" w:hAnsiTheme="majorEastAsia" w:eastAsiaTheme="majorEastAsia"/>
          <w:b w:val="0"/>
          <w:bCs w:val="0"/>
          <w:color w:val="auto"/>
          <w:sz w:val="24"/>
          <w:szCs w:val="24"/>
          <w:highlight w:val="none"/>
          <w:u w:val="single"/>
        </w:rPr>
        <w:t>日</w:t>
      </w:r>
      <w:r>
        <w:rPr>
          <w:rFonts w:hint="eastAsia" w:asciiTheme="majorEastAsia" w:hAnsiTheme="majorEastAsia" w:eastAsiaTheme="majorEastAsia"/>
          <w:b w:val="0"/>
          <w:bCs w:val="0"/>
          <w:color w:val="auto"/>
          <w:sz w:val="24"/>
          <w:szCs w:val="24"/>
          <w:highlight w:val="none"/>
        </w:rPr>
        <w:t>，</w:t>
      </w:r>
      <w:r>
        <w:rPr>
          <w:rFonts w:ascii="宋体" w:hAnsi="宋体" w:cs="宋体"/>
          <w:b w:val="0"/>
          <w:bCs w:val="0"/>
          <w:color w:val="auto"/>
          <w:sz w:val="24"/>
          <w:szCs w:val="24"/>
          <w:highlight w:val="none"/>
        </w:rPr>
        <w:t>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p>
    <w:p w14:paraId="159E3423">
      <w:pPr>
        <w:spacing w:line="480" w:lineRule="auto"/>
        <w:ind w:firstLine="480" w:firstLineChars="200"/>
        <w:rPr>
          <w:rFonts w:hint="eastAsia"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2、获取方式：网上下载电子招标文件</w:t>
      </w:r>
    </w:p>
    <w:p w14:paraId="1D625478">
      <w:pPr>
        <w:spacing w:line="480" w:lineRule="auto"/>
        <w:ind w:firstLine="480" w:firstLineChars="200"/>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3、本项目免费下载电子招标文件</w:t>
      </w:r>
    </w:p>
    <w:p w14:paraId="38630114">
      <w:pPr>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四</w:t>
      </w:r>
      <w:r>
        <w:rPr>
          <w:rFonts w:asciiTheme="majorEastAsia" w:hAnsiTheme="majorEastAsia" w:eastAsiaTheme="majorEastAsia"/>
          <w:b/>
          <w:color w:val="auto"/>
          <w:sz w:val="24"/>
          <w:szCs w:val="24"/>
          <w:highlight w:val="none"/>
        </w:rPr>
        <w:t>、</w:t>
      </w:r>
      <w:r>
        <w:rPr>
          <w:rFonts w:hint="eastAsia" w:asciiTheme="majorEastAsia" w:hAnsiTheme="majorEastAsia" w:eastAsiaTheme="majorEastAsia"/>
          <w:b/>
          <w:color w:val="auto"/>
          <w:sz w:val="24"/>
          <w:szCs w:val="24"/>
          <w:highlight w:val="none"/>
        </w:rPr>
        <w:t>提交电子</w:t>
      </w:r>
      <w:r>
        <w:rPr>
          <w:rFonts w:hint="eastAsia" w:cs="宋体" w:asciiTheme="majorEastAsia" w:hAnsiTheme="majorEastAsia" w:eastAsiaTheme="majorEastAsia"/>
          <w:b/>
          <w:color w:val="auto"/>
          <w:kern w:val="0"/>
          <w:sz w:val="24"/>
          <w:szCs w:val="24"/>
          <w:highlight w:val="none"/>
        </w:rPr>
        <w:t>投标文件截止时间、开标时间和地点</w:t>
      </w:r>
      <w:r>
        <w:rPr>
          <w:rFonts w:asciiTheme="majorEastAsia" w:hAnsiTheme="majorEastAsia" w:eastAsiaTheme="majorEastAsia"/>
          <w:b/>
          <w:color w:val="auto"/>
          <w:sz w:val="24"/>
          <w:szCs w:val="24"/>
          <w:highlight w:val="none"/>
        </w:rPr>
        <w:t>：</w:t>
      </w:r>
    </w:p>
    <w:p w14:paraId="6654F2E3">
      <w:pPr>
        <w:pBdr>
          <w:top w:val="none" w:color="000000" w:sz="0" w:space="0"/>
          <w:left w:val="none" w:color="000000" w:sz="0" w:space="0"/>
          <w:bottom w:val="none" w:color="000000" w:sz="0" w:space="0"/>
          <w:right w:val="none" w:color="000000" w:sz="0" w:space="0"/>
        </w:pBdr>
        <w:spacing w:line="360" w:lineRule="auto"/>
        <w:ind w:firstLine="482"/>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1、加密的电子投标文件上传截止时间：</w:t>
      </w:r>
      <w:r>
        <w:rPr>
          <w:rFonts w:hint="eastAsia" w:asciiTheme="majorEastAsia" w:hAnsiTheme="majorEastAsia" w:eastAsiaTheme="majorEastAsia"/>
          <w:b w:val="0"/>
          <w:bCs w:val="0"/>
          <w:color w:val="auto"/>
          <w:sz w:val="24"/>
          <w:szCs w:val="24"/>
          <w:highlight w:val="none"/>
          <w:u w:val="single"/>
        </w:rPr>
        <w:t>202</w:t>
      </w:r>
      <w:r>
        <w:rPr>
          <w:rFonts w:hint="eastAsia" w:asciiTheme="majorEastAsia" w:hAnsiTheme="majorEastAsia" w:eastAsiaTheme="majorEastAsia"/>
          <w:b w:val="0"/>
          <w:bCs w:val="0"/>
          <w:color w:val="auto"/>
          <w:sz w:val="24"/>
          <w:szCs w:val="24"/>
          <w:highlight w:val="none"/>
          <w:u w:val="single"/>
          <w:lang w:val="en-US" w:eastAsia="zh-CN"/>
        </w:rPr>
        <w:t>6</w:t>
      </w:r>
      <w:r>
        <w:rPr>
          <w:rFonts w:hint="eastAsia" w:asciiTheme="majorEastAsia" w:hAnsiTheme="majorEastAsia" w:eastAsiaTheme="majorEastAsia"/>
          <w:b w:val="0"/>
          <w:bCs w:val="0"/>
          <w:color w:val="auto"/>
          <w:sz w:val="24"/>
          <w:szCs w:val="24"/>
          <w:highlight w:val="none"/>
          <w:u w:val="single"/>
        </w:rPr>
        <w:t>年</w:t>
      </w:r>
      <w:r>
        <w:rPr>
          <w:rFonts w:hint="eastAsia" w:asciiTheme="majorEastAsia" w:hAnsiTheme="majorEastAsia" w:eastAsiaTheme="majorEastAsia"/>
          <w:b w:val="0"/>
          <w:bCs w:val="0"/>
          <w:color w:val="auto"/>
          <w:sz w:val="24"/>
          <w:szCs w:val="24"/>
          <w:highlight w:val="none"/>
          <w:u w:val="single"/>
          <w:lang w:val="en-US" w:eastAsia="zh-CN"/>
        </w:rPr>
        <w:t>2</w:t>
      </w:r>
      <w:r>
        <w:rPr>
          <w:rFonts w:hint="eastAsia" w:asciiTheme="majorEastAsia" w:hAnsiTheme="majorEastAsia" w:eastAsiaTheme="majorEastAsia"/>
          <w:b w:val="0"/>
          <w:bCs w:val="0"/>
          <w:color w:val="auto"/>
          <w:sz w:val="24"/>
          <w:szCs w:val="24"/>
          <w:highlight w:val="none"/>
          <w:u w:val="single"/>
        </w:rPr>
        <w:t>月</w:t>
      </w:r>
      <w:r>
        <w:rPr>
          <w:rFonts w:hint="eastAsia" w:asciiTheme="majorEastAsia" w:hAnsiTheme="majorEastAsia" w:eastAsiaTheme="majorEastAsia"/>
          <w:b w:val="0"/>
          <w:bCs w:val="0"/>
          <w:color w:val="auto"/>
          <w:sz w:val="24"/>
          <w:szCs w:val="24"/>
          <w:highlight w:val="none"/>
          <w:u w:val="single"/>
          <w:lang w:val="en-US" w:eastAsia="zh-CN"/>
        </w:rPr>
        <w:t xml:space="preserve">3 </w:t>
      </w:r>
      <w:r>
        <w:rPr>
          <w:rFonts w:hint="eastAsia" w:asciiTheme="majorEastAsia" w:hAnsiTheme="majorEastAsia" w:eastAsiaTheme="majorEastAsia"/>
          <w:b w:val="0"/>
          <w:bCs w:val="0"/>
          <w:color w:val="auto"/>
          <w:sz w:val="24"/>
          <w:szCs w:val="24"/>
          <w:highlight w:val="none"/>
          <w:u w:val="single"/>
        </w:rPr>
        <w:t>日</w:t>
      </w:r>
      <w:r>
        <w:rPr>
          <w:rFonts w:hint="eastAsia" w:asciiTheme="majorEastAsia" w:hAnsiTheme="majorEastAsia" w:eastAsiaTheme="majorEastAsia"/>
          <w:b w:val="0"/>
          <w:bCs w:val="0"/>
          <w:color w:val="auto"/>
          <w:sz w:val="24"/>
          <w:szCs w:val="24"/>
          <w:highlight w:val="none"/>
          <w:u w:val="single"/>
          <w:lang w:val="en-US" w:eastAsia="zh-CN"/>
        </w:rPr>
        <w:t>09</w:t>
      </w:r>
      <w:r>
        <w:rPr>
          <w:rFonts w:hint="eastAsia" w:asciiTheme="majorEastAsia" w:hAnsiTheme="majorEastAsia" w:eastAsiaTheme="majorEastAsia"/>
          <w:b w:val="0"/>
          <w:bCs w:val="0"/>
          <w:color w:val="auto"/>
          <w:sz w:val="24"/>
          <w:szCs w:val="24"/>
          <w:highlight w:val="none"/>
          <w:u w:val="single"/>
        </w:rPr>
        <w:t>点</w:t>
      </w:r>
      <w:r>
        <w:rPr>
          <w:rFonts w:hint="eastAsia" w:asciiTheme="majorEastAsia" w:hAnsiTheme="majorEastAsia" w:eastAsiaTheme="majorEastAsia"/>
          <w:b w:val="0"/>
          <w:bCs w:val="0"/>
          <w:color w:val="auto"/>
          <w:sz w:val="24"/>
          <w:szCs w:val="24"/>
          <w:highlight w:val="none"/>
          <w:u w:val="single"/>
          <w:lang w:val="en-US" w:eastAsia="zh-CN"/>
        </w:rPr>
        <w:t>30</w:t>
      </w:r>
      <w:r>
        <w:rPr>
          <w:rFonts w:hint="eastAsia" w:asciiTheme="majorEastAsia" w:hAnsiTheme="majorEastAsia" w:eastAsiaTheme="majorEastAsia"/>
          <w:b w:val="0"/>
          <w:bCs w:val="0"/>
          <w:color w:val="auto"/>
          <w:sz w:val="24"/>
          <w:szCs w:val="24"/>
          <w:highlight w:val="none"/>
          <w:u w:val="single"/>
        </w:rPr>
        <w:t>分</w:t>
      </w:r>
      <w:r>
        <w:rPr>
          <w:rFonts w:hint="eastAsia" w:asciiTheme="majorEastAsia" w:hAnsiTheme="majorEastAsia" w:eastAsiaTheme="majorEastAsia"/>
          <w:b w:val="0"/>
          <w:bCs w:val="0"/>
          <w:color w:val="auto"/>
          <w:sz w:val="24"/>
          <w:szCs w:val="24"/>
          <w:highlight w:val="none"/>
        </w:rPr>
        <w:t>（北京时间），</w:t>
      </w:r>
      <w:r>
        <w:rPr>
          <w:rFonts w:ascii="宋体" w:hAnsi="宋体" w:cs="宋体"/>
          <w:b w:val="0"/>
          <w:bCs w:val="0"/>
          <w:color w:val="auto"/>
          <w:sz w:val="24"/>
          <w:highlight w:val="none"/>
        </w:rPr>
        <w:t>投标人登录苏采云政府采购一体化平台，进入“参与详情”页面，上传电子投标文件。</w:t>
      </w:r>
    </w:p>
    <w:p w14:paraId="20CCA0D8">
      <w:pPr>
        <w:spacing w:line="480" w:lineRule="auto"/>
        <w:ind w:firstLine="480" w:firstLineChars="200"/>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注：考虑网络上传速度因素，请投标供应商适当提前上传电子投标文件。</w:t>
      </w:r>
    </w:p>
    <w:p w14:paraId="4B15D58D">
      <w:pPr>
        <w:spacing w:line="480" w:lineRule="auto"/>
        <w:ind w:firstLine="480" w:firstLineChars="200"/>
        <w:rPr>
          <w:rFonts w:cs="宋体" w:asciiTheme="majorEastAsia" w:hAnsiTheme="majorEastAsia" w:eastAsiaTheme="majorEastAsia"/>
          <w:b w:val="0"/>
          <w:bCs w:val="0"/>
          <w:color w:val="auto"/>
          <w:sz w:val="24"/>
          <w:szCs w:val="24"/>
          <w:highlight w:val="none"/>
        </w:rPr>
      </w:pPr>
      <w:r>
        <w:rPr>
          <w:rFonts w:hint="eastAsia" w:cs="宋体" w:asciiTheme="majorEastAsia" w:hAnsiTheme="majorEastAsia" w:eastAsiaTheme="majorEastAsia"/>
          <w:b w:val="0"/>
          <w:bCs w:val="0"/>
          <w:color w:val="auto"/>
          <w:sz w:val="24"/>
          <w:szCs w:val="24"/>
          <w:highlight w:val="none"/>
        </w:rPr>
        <w:t>2、开标时间：</w:t>
      </w:r>
      <w:r>
        <w:rPr>
          <w:rFonts w:hint="eastAsia" w:asciiTheme="majorEastAsia" w:hAnsiTheme="majorEastAsia" w:eastAsiaTheme="majorEastAsia"/>
          <w:b w:val="0"/>
          <w:bCs w:val="0"/>
          <w:color w:val="auto"/>
          <w:sz w:val="24"/>
          <w:szCs w:val="24"/>
          <w:highlight w:val="none"/>
          <w:u w:val="single"/>
        </w:rPr>
        <w:t>202</w:t>
      </w:r>
      <w:r>
        <w:rPr>
          <w:rFonts w:hint="eastAsia" w:asciiTheme="majorEastAsia" w:hAnsiTheme="majorEastAsia" w:eastAsiaTheme="majorEastAsia"/>
          <w:b w:val="0"/>
          <w:bCs w:val="0"/>
          <w:color w:val="auto"/>
          <w:sz w:val="24"/>
          <w:szCs w:val="24"/>
          <w:highlight w:val="none"/>
          <w:u w:val="single"/>
          <w:lang w:val="en-US" w:eastAsia="zh-CN"/>
        </w:rPr>
        <w:t>6</w:t>
      </w:r>
      <w:r>
        <w:rPr>
          <w:rFonts w:hint="eastAsia" w:asciiTheme="majorEastAsia" w:hAnsiTheme="majorEastAsia" w:eastAsiaTheme="majorEastAsia"/>
          <w:b w:val="0"/>
          <w:bCs w:val="0"/>
          <w:color w:val="auto"/>
          <w:sz w:val="24"/>
          <w:szCs w:val="24"/>
          <w:highlight w:val="none"/>
          <w:u w:val="single"/>
        </w:rPr>
        <w:t>年</w:t>
      </w:r>
      <w:r>
        <w:rPr>
          <w:rFonts w:hint="eastAsia" w:asciiTheme="majorEastAsia" w:hAnsiTheme="majorEastAsia" w:eastAsiaTheme="majorEastAsia"/>
          <w:b w:val="0"/>
          <w:bCs w:val="0"/>
          <w:color w:val="auto"/>
          <w:sz w:val="24"/>
          <w:szCs w:val="24"/>
          <w:highlight w:val="none"/>
          <w:u w:val="single"/>
          <w:lang w:val="en-US" w:eastAsia="zh-CN"/>
        </w:rPr>
        <w:t>2</w:t>
      </w:r>
      <w:r>
        <w:rPr>
          <w:rFonts w:hint="eastAsia" w:asciiTheme="majorEastAsia" w:hAnsiTheme="majorEastAsia" w:eastAsiaTheme="majorEastAsia"/>
          <w:b w:val="0"/>
          <w:bCs w:val="0"/>
          <w:color w:val="auto"/>
          <w:sz w:val="24"/>
          <w:szCs w:val="24"/>
          <w:highlight w:val="none"/>
          <w:u w:val="single"/>
        </w:rPr>
        <w:t>月</w:t>
      </w:r>
      <w:r>
        <w:rPr>
          <w:rFonts w:hint="eastAsia" w:asciiTheme="majorEastAsia" w:hAnsiTheme="majorEastAsia" w:eastAsiaTheme="majorEastAsia"/>
          <w:b w:val="0"/>
          <w:bCs w:val="0"/>
          <w:color w:val="auto"/>
          <w:sz w:val="24"/>
          <w:szCs w:val="24"/>
          <w:highlight w:val="none"/>
          <w:u w:val="single"/>
          <w:lang w:val="en-US" w:eastAsia="zh-CN"/>
        </w:rPr>
        <w:t xml:space="preserve"> 3</w:t>
      </w:r>
      <w:r>
        <w:rPr>
          <w:rFonts w:hint="eastAsia" w:asciiTheme="majorEastAsia" w:hAnsiTheme="majorEastAsia" w:eastAsiaTheme="majorEastAsia"/>
          <w:b w:val="0"/>
          <w:bCs w:val="0"/>
          <w:color w:val="auto"/>
          <w:sz w:val="24"/>
          <w:szCs w:val="24"/>
          <w:highlight w:val="none"/>
          <w:u w:val="single"/>
        </w:rPr>
        <w:t>日</w:t>
      </w:r>
      <w:r>
        <w:rPr>
          <w:rFonts w:hint="eastAsia" w:asciiTheme="majorEastAsia" w:hAnsiTheme="majorEastAsia" w:eastAsiaTheme="majorEastAsia"/>
          <w:b w:val="0"/>
          <w:bCs w:val="0"/>
          <w:color w:val="auto"/>
          <w:sz w:val="24"/>
          <w:szCs w:val="24"/>
          <w:highlight w:val="none"/>
          <w:u w:val="single"/>
          <w:lang w:val="en-US" w:eastAsia="zh-CN"/>
        </w:rPr>
        <w:t xml:space="preserve"> 09</w:t>
      </w:r>
      <w:r>
        <w:rPr>
          <w:rFonts w:hint="eastAsia" w:asciiTheme="majorEastAsia" w:hAnsiTheme="majorEastAsia" w:eastAsiaTheme="majorEastAsia"/>
          <w:b w:val="0"/>
          <w:bCs w:val="0"/>
          <w:color w:val="auto"/>
          <w:sz w:val="24"/>
          <w:szCs w:val="24"/>
          <w:highlight w:val="none"/>
          <w:u w:val="single"/>
        </w:rPr>
        <w:t>点</w:t>
      </w:r>
      <w:r>
        <w:rPr>
          <w:rFonts w:hint="eastAsia" w:asciiTheme="majorEastAsia" w:hAnsiTheme="majorEastAsia" w:eastAsiaTheme="majorEastAsia"/>
          <w:b w:val="0"/>
          <w:bCs w:val="0"/>
          <w:color w:val="auto"/>
          <w:sz w:val="24"/>
          <w:szCs w:val="24"/>
          <w:highlight w:val="none"/>
          <w:u w:val="single"/>
          <w:lang w:val="en-US" w:eastAsia="zh-CN"/>
        </w:rPr>
        <w:t xml:space="preserve"> 30</w:t>
      </w:r>
      <w:r>
        <w:rPr>
          <w:rFonts w:hint="eastAsia" w:asciiTheme="majorEastAsia" w:hAnsiTheme="majorEastAsia" w:eastAsiaTheme="majorEastAsia"/>
          <w:b w:val="0"/>
          <w:bCs w:val="0"/>
          <w:color w:val="auto"/>
          <w:sz w:val="24"/>
          <w:szCs w:val="24"/>
          <w:highlight w:val="none"/>
          <w:u w:val="single"/>
        </w:rPr>
        <w:t>分</w:t>
      </w:r>
      <w:r>
        <w:rPr>
          <w:rFonts w:cs="宋体" w:asciiTheme="majorEastAsia" w:hAnsiTheme="majorEastAsia" w:eastAsiaTheme="majorEastAsia"/>
          <w:b w:val="0"/>
          <w:bCs w:val="0"/>
          <w:color w:val="auto"/>
          <w:sz w:val="24"/>
          <w:szCs w:val="24"/>
          <w:highlight w:val="none"/>
        </w:rPr>
        <w:t>（北京时间）</w:t>
      </w:r>
    </w:p>
    <w:p w14:paraId="77FFF903">
      <w:pPr>
        <w:spacing w:line="480" w:lineRule="auto"/>
        <w:ind w:firstLine="480" w:firstLineChars="200"/>
        <w:rPr>
          <w:rFonts w:ascii="宋体" w:hAnsi="宋体" w:cs="宋体"/>
          <w:b w:val="0"/>
          <w:bCs w:val="0"/>
          <w:color w:val="auto"/>
          <w:sz w:val="24"/>
          <w:highlight w:val="none"/>
        </w:rPr>
      </w:pPr>
      <w:r>
        <w:rPr>
          <w:rFonts w:hint="eastAsia" w:asciiTheme="majorEastAsia" w:hAnsiTheme="majorEastAsia" w:eastAsiaTheme="majorEastAsia"/>
          <w:b w:val="0"/>
          <w:bCs w:val="0"/>
          <w:color w:val="auto"/>
          <w:sz w:val="24"/>
          <w:szCs w:val="24"/>
          <w:highlight w:val="none"/>
        </w:rPr>
        <w:t>3、</w:t>
      </w:r>
      <w:r>
        <w:rPr>
          <w:rFonts w:asciiTheme="majorEastAsia" w:hAnsiTheme="majorEastAsia" w:eastAsiaTheme="majorEastAsia"/>
          <w:b w:val="0"/>
          <w:bCs w:val="0"/>
          <w:color w:val="auto"/>
          <w:sz w:val="24"/>
          <w:szCs w:val="24"/>
          <w:highlight w:val="none"/>
        </w:rPr>
        <w:t>开标地点：</w:t>
      </w:r>
      <w:r>
        <w:rPr>
          <w:rFonts w:ascii="宋体" w:hAnsi="宋体" w:cs="宋体"/>
          <w:b w:val="0"/>
          <w:bCs w:val="0"/>
          <w:color w:val="auto"/>
          <w:sz w:val="24"/>
          <w:highlight w:val="none"/>
        </w:rPr>
        <w:t>苏采云网上不见面开标大厅</w:t>
      </w:r>
    </w:p>
    <w:p w14:paraId="2F7EA5DD">
      <w:pPr>
        <w:spacing w:line="480" w:lineRule="auto"/>
        <w:ind w:firstLine="480" w:firstLineChars="200"/>
        <w:rPr>
          <w:rFonts w:ascii="宋体" w:hAnsi="宋体" w:cs="宋体"/>
          <w:b/>
          <w:color w:val="auto"/>
          <w:sz w:val="24"/>
          <w:szCs w:val="24"/>
          <w:highlight w:val="none"/>
        </w:rPr>
      </w:pPr>
      <w:r>
        <w:rPr>
          <w:rFonts w:hint="eastAsia" w:hAnsi="宋体" w:cs="等线"/>
          <w:b w:val="0"/>
          <w:bCs w:val="0"/>
          <w:color w:val="auto"/>
          <w:sz w:val="24"/>
          <w:szCs w:val="24"/>
          <w:highlight w:val="none"/>
        </w:rPr>
        <w:t>4、现场地址：</w:t>
      </w:r>
      <w:r>
        <w:rPr>
          <w:rFonts w:hint="eastAsia" w:ascii="宋体" w:hAnsi="宋体" w:eastAsia="宋体"/>
          <w:bCs/>
          <w:color w:val="auto"/>
          <w:sz w:val="24"/>
          <w:szCs w:val="24"/>
          <w:highlight w:val="none"/>
        </w:rPr>
        <w:t>太仓市</w:t>
      </w:r>
      <w:r>
        <w:rPr>
          <w:rFonts w:hint="eastAsia" w:ascii="宋体" w:hAnsi="宋体" w:eastAsia="宋体"/>
          <w:bCs/>
          <w:color w:val="auto"/>
          <w:sz w:val="24"/>
          <w:szCs w:val="24"/>
          <w:highlight w:val="none"/>
          <w:lang w:val="en-US" w:eastAsia="zh-CN"/>
        </w:rPr>
        <w:t>陆渡街道万金北路88号</w:t>
      </w:r>
    </w:p>
    <w:p w14:paraId="62924564">
      <w:pPr>
        <w:widowControl/>
        <w:adjustRightInd w:val="0"/>
        <w:snapToGrid w:val="0"/>
        <w:spacing w:line="312" w:lineRule="auto"/>
        <w:jc w:val="left"/>
        <w:rPr>
          <w:color w:val="auto"/>
          <w:highlight w:val="none"/>
        </w:rPr>
      </w:pPr>
      <w:r>
        <w:rPr>
          <w:rFonts w:hint="eastAsia" w:ascii="宋体" w:hAnsi="宋体" w:cs="宋体"/>
          <w:b/>
          <w:color w:val="auto"/>
          <w:sz w:val="24"/>
          <w:szCs w:val="24"/>
          <w:highlight w:val="none"/>
          <w:shd w:val="clear" w:color="auto" w:fill="FFFFFF"/>
          <w:lang w:bidi="ar"/>
        </w:rPr>
        <w:t xml:space="preserve">五、公告期限： </w:t>
      </w:r>
    </w:p>
    <w:p w14:paraId="02F0E5CE">
      <w:pPr>
        <w:widowControl/>
        <w:adjustRightInd w:val="0"/>
        <w:snapToGrid w:val="0"/>
        <w:spacing w:line="312" w:lineRule="auto"/>
        <w:ind w:firstLine="480" w:firstLineChars="200"/>
        <w:jc w:val="left"/>
        <w:rPr>
          <w:color w:val="auto"/>
          <w:highlight w:val="none"/>
        </w:rPr>
      </w:pPr>
      <w:r>
        <w:rPr>
          <w:rFonts w:hint="eastAsia" w:ascii="宋体" w:hAnsi="宋体" w:cs="宋体"/>
          <w:color w:val="auto"/>
          <w:sz w:val="24"/>
          <w:szCs w:val="24"/>
          <w:highlight w:val="none"/>
          <w:shd w:val="clear" w:color="auto" w:fill="FFFFFF"/>
          <w:lang w:bidi="ar"/>
        </w:rPr>
        <w:t xml:space="preserve">自本公告发布之日起5个工作日。 </w:t>
      </w:r>
    </w:p>
    <w:p w14:paraId="1115613C">
      <w:pPr>
        <w:widowControl/>
        <w:spacing w:line="480" w:lineRule="auto"/>
        <w:rPr>
          <w:rFonts w:cs="宋体" w:asciiTheme="majorEastAsia" w:hAnsiTheme="majorEastAsia" w:eastAsiaTheme="majorEastAsia"/>
          <w:b/>
          <w:color w:val="auto"/>
          <w:sz w:val="24"/>
          <w:szCs w:val="24"/>
          <w:highlight w:val="none"/>
        </w:rPr>
      </w:pPr>
      <w:r>
        <w:rPr>
          <w:rFonts w:hint="eastAsia" w:cs="宋体" w:asciiTheme="majorEastAsia" w:hAnsiTheme="majorEastAsia" w:eastAsiaTheme="majorEastAsia"/>
          <w:b/>
          <w:color w:val="auto"/>
          <w:sz w:val="24"/>
          <w:szCs w:val="24"/>
          <w:highlight w:val="none"/>
        </w:rPr>
        <w:t>六、其他补充事宜：</w:t>
      </w:r>
    </w:p>
    <w:p w14:paraId="10EDC1D4">
      <w:pPr>
        <w:widowControl/>
        <w:spacing w:line="360" w:lineRule="auto"/>
        <w:ind w:firstLine="420"/>
        <w:rPr>
          <w:rFonts w:hAnsi="宋体" w:cs="等线"/>
          <w:b w:val="0"/>
          <w:bCs w:val="0"/>
          <w:color w:val="auto"/>
          <w:sz w:val="24"/>
          <w:szCs w:val="24"/>
          <w:highlight w:val="none"/>
        </w:rPr>
      </w:pPr>
      <w:r>
        <w:rPr>
          <w:rFonts w:hint="eastAsia" w:hAnsi="宋体" w:cs="等线"/>
          <w:b w:val="0"/>
          <w:bCs w:val="0"/>
          <w:color w:val="auto"/>
          <w:sz w:val="24"/>
          <w:szCs w:val="24"/>
          <w:highlight w:val="none"/>
        </w:rPr>
        <w:t>1、本项目需要使用CA数字证书制作、上传电子投标文件完成电子投标，请供应商在参加投标活动前办理好CA数字证书申领及电子签章等操作。</w:t>
      </w:r>
    </w:p>
    <w:p w14:paraId="3DE36DDE">
      <w:pPr>
        <w:widowControl/>
        <w:spacing w:line="360" w:lineRule="auto"/>
        <w:ind w:firstLine="422"/>
        <w:rPr>
          <w:rFonts w:hint="eastAsia" w:hAnsi="宋体" w:cs="等线"/>
          <w:b w:val="0"/>
          <w:bCs w:val="0"/>
          <w:color w:val="auto"/>
          <w:sz w:val="24"/>
          <w:szCs w:val="24"/>
          <w:highlight w:val="none"/>
        </w:rPr>
      </w:pPr>
      <w:r>
        <w:rPr>
          <w:rFonts w:hint="eastAsia" w:hAnsi="宋体" w:cs="等线"/>
          <w:b w:val="0"/>
          <w:bCs w:val="0"/>
          <w:color w:val="auto"/>
          <w:sz w:val="24"/>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DB12384">
      <w:pPr>
        <w:widowControl/>
        <w:spacing w:line="360" w:lineRule="auto"/>
        <w:ind w:firstLine="422"/>
        <w:rPr>
          <w:rFonts w:hAnsi="宋体" w:cs="等线"/>
          <w:b w:val="0"/>
          <w:bCs w:val="0"/>
          <w:color w:val="auto"/>
          <w:sz w:val="24"/>
          <w:szCs w:val="24"/>
          <w:highlight w:val="none"/>
        </w:rPr>
      </w:pPr>
      <w:r>
        <w:rPr>
          <w:rFonts w:hint="eastAsia" w:hAnsi="宋体" w:cs="等线"/>
          <w:b w:val="0"/>
          <w:bCs w:val="0"/>
          <w:color w:val="auto"/>
          <w:sz w:val="24"/>
          <w:szCs w:val="24"/>
          <w:highlight w:val="none"/>
          <w:lang w:val="en-US" w:eastAsia="zh-CN"/>
        </w:rPr>
        <w:t>3</w:t>
      </w:r>
      <w:r>
        <w:rPr>
          <w:rFonts w:hint="eastAsia" w:hAnsi="宋体" w:cs="等线"/>
          <w:b w:val="0"/>
          <w:bCs w:val="0"/>
          <w:color w:val="auto"/>
          <w:sz w:val="24"/>
          <w:szCs w:val="24"/>
          <w:highlight w:val="none"/>
        </w:rPr>
        <w:t>、本项目采用不见面开标，投标人开标时无需到现场进行解密，采取网上开标大厅解密电子投标文件，投标人远程解密要求如下：</w:t>
      </w:r>
    </w:p>
    <w:p w14:paraId="5240DAF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65ACDA22">
      <w:pPr>
        <w:pBdr>
          <w:top w:val="none" w:color="000000" w:sz="0" w:space="0"/>
          <w:left w:val="none" w:color="000000" w:sz="0" w:space="0"/>
          <w:bottom w:val="none" w:color="000000" w:sz="0" w:space="0"/>
          <w:right w:val="none" w:color="000000" w:sz="0" w:space="0"/>
        </w:pBdr>
        <w:spacing w:line="360" w:lineRule="auto"/>
        <w:ind w:firstLine="47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2）投标人登录苏采云系统，点击开标大厅，选择开标项目，完成不见面开标流程。</w:t>
      </w:r>
    </w:p>
    <w:p w14:paraId="023BAB70">
      <w:pPr>
        <w:pBdr>
          <w:top w:val="none" w:color="000000" w:sz="0" w:space="0"/>
          <w:left w:val="none" w:color="000000" w:sz="0" w:space="0"/>
          <w:bottom w:val="none" w:color="000000" w:sz="0" w:space="0"/>
          <w:right w:val="none" w:color="000000" w:sz="0" w:space="0"/>
        </w:pBdr>
        <w:spacing w:line="360" w:lineRule="auto"/>
        <w:ind w:firstLine="480"/>
        <w:rPr>
          <w:b w:val="0"/>
          <w:bCs w:val="0"/>
          <w:color w:val="auto"/>
          <w:sz w:val="24"/>
          <w:szCs w:val="24"/>
          <w:highlight w:val="none"/>
        </w:rPr>
      </w:pPr>
      <w:r>
        <w:rPr>
          <w:rFonts w:ascii="宋体" w:hAnsi="宋体" w:cs="宋体"/>
          <w:b w:val="0"/>
          <w:bCs w:val="0"/>
          <w:color w:val="auto"/>
          <w:sz w:val="24"/>
          <w:szCs w:val="24"/>
          <w:highlight w:val="none"/>
        </w:rPr>
        <w:t>3）投标截止时间后根据系统提示解密电子投标文件。解密时间为</w:t>
      </w:r>
      <w:r>
        <w:rPr>
          <w:rFonts w:hint="eastAsia" w:ascii="宋体" w:hAnsi="宋体" w:cs="宋体"/>
          <w:b w:val="0"/>
          <w:bCs w:val="0"/>
          <w:color w:val="auto"/>
          <w:sz w:val="24"/>
          <w:szCs w:val="24"/>
          <w:highlight w:val="none"/>
          <w:lang w:val="en-US" w:eastAsia="zh-CN"/>
        </w:rPr>
        <w:t>15</w:t>
      </w:r>
      <w:r>
        <w:rPr>
          <w:rFonts w:ascii="宋体" w:hAnsi="宋体" w:cs="宋体"/>
          <w:b w:val="0"/>
          <w:bCs w:val="0"/>
          <w:color w:val="auto"/>
          <w:sz w:val="24"/>
          <w:szCs w:val="24"/>
          <w:highlight w:val="none"/>
        </w:rPr>
        <w:t>分钟，未在规定时间内完成解密，其投标文件将被拒绝，不参与后续投标流程。</w:t>
      </w:r>
    </w:p>
    <w:p w14:paraId="6E0F77B5">
      <w:pPr>
        <w:pBdr>
          <w:top w:val="none" w:color="000000" w:sz="0" w:space="0"/>
          <w:left w:val="none" w:color="000000" w:sz="0" w:space="0"/>
          <w:bottom w:val="none" w:color="000000" w:sz="0" w:space="0"/>
          <w:right w:val="none" w:color="000000" w:sz="0" w:space="0"/>
        </w:pBdr>
        <w:spacing w:line="360" w:lineRule="auto"/>
        <w:ind w:firstLine="480"/>
        <w:rPr>
          <w:b w:val="0"/>
          <w:bCs w:val="0"/>
          <w:color w:val="auto"/>
          <w:sz w:val="24"/>
          <w:szCs w:val="24"/>
          <w:highlight w:val="none"/>
        </w:rPr>
      </w:pPr>
      <w:r>
        <w:rPr>
          <w:rFonts w:ascii="宋体" w:hAnsi="宋体" w:cs="宋体"/>
          <w:b w:val="0"/>
          <w:bCs w:val="0"/>
          <w:color w:val="auto"/>
          <w:sz w:val="24"/>
          <w:szCs w:val="24"/>
          <w:highlight w:val="none"/>
        </w:rPr>
        <w:t>4）在开标、评标过程中</w:t>
      </w:r>
      <w:r>
        <w:rPr>
          <w:rFonts w:hint="eastAsia" w:ascii="宋体" w:hAnsi="宋体" w:cs="宋体"/>
          <w:b w:val="0"/>
          <w:bCs w:val="0"/>
          <w:color w:val="auto"/>
          <w:sz w:val="24"/>
          <w:szCs w:val="24"/>
          <w:highlight w:val="none"/>
          <w:lang w:eastAsia="zh-CN"/>
        </w:rPr>
        <w:t>供应商</w:t>
      </w:r>
      <w:r>
        <w:rPr>
          <w:rFonts w:ascii="宋体" w:hAnsi="宋体" w:cs="宋体"/>
          <w:b w:val="0"/>
          <w:bCs w:val="0"/>
          <w:color w:val="auto"/>
          <w:sz w:val="24"/>
          <w:szCs w:val="24"/>
          <w:highlight w:val="none"/>
        </w:rPr>
        <w:t>代表须在网上不见面开标系统中保持在线状态，以应对可能发生的澄清、说明等回复，由于</w:t>
      </w:r>
      <w:r>
        <w:rPr>
          <w:rFonts w:hint="eastAsia" w:ascii="宋体" w:hAnsi="宋体" w:cs="宋体"/>
          <w:b w:val="0"/>
          <w:bCs w:val="0"/>
          <w:color w:val="auto"/>
          <w:sz w:val="24"/>
          <w:szCs w:val="24"/>
          <w:highlight w:val="none"/>
          <w:lang w:eastAsia="zh-CN"/>
        </w:rPr>
        <w:t>供应商</w:t>
      </w:r>
      <w:r>
        <w:rPr>
          <w:rFonts w:ascii="宋体" w:hAnsi="宋体" w:cs="宋体"/>
          <w:b w:val="0"/>
          <w:bCs w:val="0"/>
          <w:color w:val="auto"/>
          <w:sz w:val="24"/>
          <w:szCs w:val="24"/>
          <w:highlight w:val="none"/>
        </w:rPr>
        <w:t>代表不在线所造成的一切后果由投标人自行承担。</w:t>
      </w:r>
    </w:p>
    <w:p w14:paraId="151FAEBC">
      <w:pPr>
        <w:pBdr>
          <w:top w:val="none" w:color="000000" w:sz="0" w:space="0"/>
          <w:left w:val="none" w:color="000000" w:sz="0" w:space="0"/>
          <w:bottom w:val="none" w:color="000000" w:sz="0" w:space="0"/>
          <w:right w:val="none" w:color="000000" w:sz="0" w:space="0"/>
        </w:pBdr>
        <w:spacing w:line="360" w:lineRule="auto"/>
        <w:ind w:firstLine="470"/>
        <w:rPr>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ascii="宋体" w:hAnsi="宋体" w:cs="宋体"/>
          <w:b w:val="0"/>
          <w:bCs w:val="0"/>
          <w:color w:val="auto"/>
          <w:sz w:val="24"/>
          <w:szCs w:val="24"/>
          <w:highlight w:val="none"/>
        </w:rPr>
        <w:t>、有关苏采云系统驱动安装，登录苏州政府采购网，点击页面底部苏采云图标，进入苏采云政府采购一体化平台，点击“驱动下载”，下载“政务CA、方正签章控件驱动安装包及安装说明”文件，按要求安装驱动。</w:t>
      </w:r>
    </w:p>
    <w:p w14:paraId="4B6FAEA8">
      <w:pPr>
        <w:pBdr>
          <w:top w:val="none" w:color="000000" w:sz="0" w:space="0"/>
          <w:left w:val="none" w:color="000000" w:sz="0" w:space="0"/>
          <w:bottom w:val="none" w:color="000000" w:sz="0" w:space="0"/>
          <w:right w:val="none" w:color="000000" w:sz="0" w:space="0"/>
        </w:pBdr>
        <w:spacing w:line="360" w:lineRule="auto"/>
        <w:ind w:firstLine="470"/>
        <w:rPr>
          <w:b w:val="0"/>
          <w:bCs w:val="0"/>
          <w:color w:val="auto"/>
          <w:sz w:val="24"/>
          <w:szCs w:val="24"/>
          <w:highlight w:val="none"/>
        </w:rPr>
      </w:pPr>
      <w:r>
        <w:rPr>
          <w:rFonts w:hint="eastAsia" w:ascii="宋体" w:hAnsi="宋体" w:cs="宋体"/>
          <w:b w:val="0"/>
          <w:bCs w:val="0"/>
          <w:color w:val="auto"/>
          <w:sz w:val="24"/>
          <w:szCs w:val="24"/>
          <w:highlight w:val="none"/>
          <w:lang w:val="en-US" w:eastAsia="zh-CN"/>
        </w:rPr>
        <w:t>5</w:t>
      </w:r>
      <w:r>
        <w:rPr>
          <w:rFonts w:ascii="宋体" w:hAnsi="宋体" w:cs="宋体"/>
          <w:b w:val="0"/>
          <w:bCs w:val="0"/>
          <w:color w:val="auto"/>
          <w:sz w:val="24"/>
          <w:szCs w:val="24"/>
          <w:highlight w:val="none"/>
        </w:rPr>
        <w:t>、有关供应商注册、报名、下载电子招标文件、制作上传电子投标文件、不见面开标及其他注意事项登录苏州政府采购网，在“下载中心”栏目下载“苏采云系统供应商操作手册”查阅。</w:t>
      </w:r>
    </w:p>
    <w:p w14:paraId="044F179E">
      <w:pPr>
        <w:pBdr>
          <w:top w:val="none" w:color="000000" w:sz="0" w:space="0"/>
          <w:left w:val="none" w:color="000000" w:sz="0" w:space="0"/>
          <w:bottom w:val="none" w:color="000000" w:sz="0" w:space="0"/>
          <w:right w:val="none" w:color="000000" w:sz="0" w:space="0"/>
        </w:pBdr>
        <w:spacing w:line="360" w:lineRule="auto"/>
        <w:ind w:firstLine="470"/>
        <w:rPr>
          <w:b w:val="0"/>
          <w:bCs w:val="0"/>
          <w:color w:val="auto"/>
          <w:sz w:val="24"/>
          <w:szCs w:val="24"/>
          <w:highlight w:val="none"/>
        </w:rPr>
      </w:pPr>
      <w:r>
        <w:rPr>
          <w:rFonts w:hint="eastAsia" w:ascii="宋体" w:hAnsi="宋体" w:cs="宋体"/>
          <w:b w:val="0"/>
          <w:bCs w:val="0"/>
          <w:color w:val="auto"/>
          <w:sz w:val="24"/>
          <w:szCs w:val="24"/>
          <w:highlight w:val="none"/>
          <w:lang w:val="en-US" w:eastAsia="zh-CN"/>
        </w:rPr>
        <w:t>6</w:t>
      </w:r>
      <w:r>
        <w:rPr>
          <w:rFonts w:ascii="宋体" w:hAnsi="宋体" w:cs="宋体"/>
          <w:b w:val="0"/>
          <w:bCs w:val="0"/>
          <w:color w:val="auto"/>
          <w:sz w:val="24"/>
          <w:szCs w:val="24"/>
          <w:highlight w:val="none"/>
        </w:rPr>
        <w:t>、有关办理CA数字申领及电子签章事项，登录苏州政府采购网，点击页面底部苏采云图标，进入苏采云政府采购一体化平台，下载“新CA办理指南”文件查阅。</w:t>
      </w:r>
    </w:p>
    <w:p w14:paraId="15419767">
      <w:pPr>
        <w:widowControl/>
        <w:adjustRightInd w:val="0"/>
        <w:snapToGrid w:val="0"/>
        <w:spacing w:line="360" w:lineRule="auto"/>
        <w:ind w:firstLine="480" w:firstLineChars="200"/>
        <w:jc w:val="left"/>
        <w:rPr>
          <w:color w:val="auto"/>
          <w:highlight w:val="none"/>
        </w:rPr>
      </w:pPr>
      <w:r>
        <w:rPr>
          <w:rFonts w:hint="eastAsia" w:ascii="宋体" w:hAnsi="宋体" w:cs="宋体"/>
          <w:color w:val="auto"/>
          <w:sz w:val="24"/>
          <w:szCs w:val="24"/>
          <w:highlight w:val="none"/>
          <w:shd w:val="clear" w:color="auto" w:fill="FFFFFF"/>
          <w:lang w:val="en-US" w:eastAsia="zh-CN" w:bidi="ar"/>
        </w:rPr>
        <w:t>7</w:t>
      </w:r>
      <w:r>
        <w:rPr>
          <w:rFonts w:hint="eastAsia" w:ascii="宋体" w:hAnsi="宋体" w:cs="宋体"/>
          <w:color w:val="auto"/>
          <w:sz w:val="24"/>
          <w:szCs w:val="24"/>
          <w:highlight w:val="none"/>
          <w:shd w:val="clear" w:color="auto" w:fill="FFFFFF"/>
          <w:lang w:bidi="ar"/>
        </w:rPr>
        <w:t xml:space="preserve">、中标服务费：由中标单位支付。按预算金额100万元以内1.5%、100万元（含）--500万元以内1.1%、500万元（含）-- 1000万元以内0.8%，不足3000元按3000元计取。差额定率累进法计算并支付中标服务费。该费用应在领取中标通知书时付清。 </w:t>
      </w:r>
    </w:p>
    <w:p w14:paraId="0E218824">
      <w:pPr>
        <w:widowControl/>
        <w:adjustRightInd w:val="0"/>
        <w:snapToGrid w:val="0"/>
        <w:spacing w:line="360" w:lineRule="auto"/>
        <w:ind w:firstLine="480" w:firstLineChars="200"/>
        <w:jc w:val="left"/>
        <w:rPr>
          <w:color w:val="auto"/>
          <w:highlight w:val="none"/>
        </w:rPr>
      </w:pPr>
      <w:r>
        <w:rPr>
          <w:rFonts w:hint="eastAsia" w:ascii="宋体" w:hAnsi="宋体" w:cs="宋体"/>
          <w:color w:val="auto"/>
          <w:sz w:val="24"/>
          <w:szCs w:val="24"/>
          <w:highlight w:val="none"/>
          <w:shd w:val="clear" w:color="auto" w:fill="FFFFFF"/>
          <w:lang w:bidi="ar"/>
        </w:rPr>
        <w:t xml:space="preserve">中标服务费缴纳户名：江苏启越工程管理有限公司苏州众辉分公司   </w:t>
      </w:r>
    </w:p>
    <w:p w14:paraId="10CDE35D">
      <w:pPr>
        <w:widowControl/>
        <w:adjustRightInd w:val="0"/>
        <w:snapToGrid w:val="0"/>
        <w:spacing w:line="360" w:lineRule="auto"/>
        <w:ind w:firstLine="480" w:firstLineChars="200"/>
        <w:jc w:val="left"/>
        <w:rPr>
          <w:color w:val="auto"/>
          <w:highlight w:val="none"/>
        </w:rPr>
      </w:pPr>
      <w:r>
        <w:rPr>
          <w:rFonts w:hint="eastAsia" w:ascii="宋体" w:hAnsi="宋体" w:cs="宋体"/>
          <w:color w:val="auto"/>
          <w:sz w:val="24"/>
          <w:szCs w:val="24"/>
          <w:highlight w:val="none"/>
          <w:shd w:val="clear" w:color="auto" w:fill="FFFFFF"/>
          <w:lang w:bidi="ar"/>
        </w:rPr>
        <w:t xml:space="preserve">开户银行：太仓农村商业银行 </w:t>
      </w:r>
    </w:p>
    <w:p w14:paraId="17F86B5A">
      <w:pPr>
        <w:widowControl/>
        <w:adjustRightInd w:val="0"/>
        <w:snapToGrid w:val="0"/>
        <w:spacing w:line="360" w:lineRule="auto"/>
        <w:ind w:firstLine="480" w:firstLineChars="200"/>
        <w:jc w:val="left"/>
        <w:rPr>
          <w:rFonts w:asciiTheme="majorEastAsia" w:hAnsiTheme="majorEastAsia" w:eastAsiaTheme="majorEastAsia"/>
          <w:b/>
          <w:bCs/>
          <w:color w:val="auto"/>
          <w:sz w:val="24"/>
          <w:szCs w:val="24"/>
          <w:highlight w:val="none"/>
        </w:rPr>
      </w:pPr>
      <w:r>
        <w:rPr>
          <w:rFonts w:hint="eastAsia" w:ascii="宋体" w:hAnsi="宋体" w:cs="宋体"/>
          <w:color w:val="auto"/>
          <w:sz w:val="24"/>
          <w:szCs w:val="24"/>
          <w:highlight w:val="none"/>
          <w:shd w:val="clear" w:color="auto" w:fill="FFFFFF"/>
          <w:lang w:bidi="ar"/>
        </w:rPr>
        <w:t xml:space="preserve">账    号：320 585 100 101 000 000 0794 </w:t>
      </w:r>
    </w:p>
    <w:p w14:paraId="74541A9C">
      <w:pPr>
        <w:widowControl/>
        <w:spacing w:line="360" w:lineRule="auto"/>
        <w:ind w:firstLine="480" w:firstLineChars="200"/>
        <w:rPr>
          <w:rFonts w:cs="宋体"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lang w:val="en-US" w:eastAsia="zh-CN"/>
        </w:rPr>
        <w:t>8</w:t>
      </w:r>
      <w:r>
        <w:rPr>
          <w:rFonts w:hint="eastAsia" w:asciiTheme="majorEastAsia" w:hAnsiTheme="majorEastAsia" w:eastAsiaTheme="majorEastAsia"/>
          <w:b w:val="0"/>
          <w:bCs w:val="0"/>
          <w:color w:val="auto"/>
          <w:sz w:val="24"/>
          <w:szCs w:val="24"/>
          <w:highlight w:val="none"/>
        </w:rPr>
        <w:t>、本项目为网上电子投标，</w:t>
      </w:r>
      <w:r>
        <w:rPr>
          <w:rFonts w:hint="eastAsia" w:asciiTheme="majorEastAsia" w:hAnsiTheme="majorEastAsia" w:eastAsiaTheme="majorEastAsia"/>
          <w:b w:val="0"/>
          <w:bCs w:val="0"/>
          <w:color w:val="auto"/>
          <w:sz w:val="24"/>
          <w:szCs w:val="24"/>
          <w:highlight w:val="none"/>
          <w:lang w:eastAsia="zh-CN"/>
        </w:rPr>
        <w:t>中标单位</w:t>
      </w:r>
      <w:r>
        <w:rPr>
          <w:rFonts w:hint="eastAsia" w:asciiTheme="majorEastAsia" w:hAnsiTheme="majorEastAsia" w:eastAsiaTheme="majorEastAsia"/>
          <w:b w:val="0"/>
          <w:bCs w:val="0"/>
          <w:color w:val="auto"/>
          <w:sz w:val="24"/>
          <w:szCs w:val="24"/>
          <w:highlight w:val="none"/>
        </w:rPr>
        <w:t>在领取中标通知书后需向招标代理机构额外提供与投标所报电子文件一致的纸质投标书3份。</w:t>
      </w:r>
    </w:p>
    <w:p w14:paraId="3E321C69">
      <w:pPr>
        <w:widowControl/>
        <w:adjustRightInd w:val="0"/>
        <w:snapToGrid w:val="0"/>
        <w:spacing w:line="360" w:lineRule="auto"/>
        <w:ind w:firstLine="420"/>
        <w:jc w:val="left"/>
        <w:rPr>
          <w:rFonts w:hint="eastAsia"/>
          <w:color w:val="auto"/>
          <w:highlight w:val="none"/>
        </w:rPr>
      </w:pPr>
      <w:r>
        <w:rPr>
          <w:rFonts w:hint="eastAsia" w:ascii="宋体" w:hAnsi="宋体" w:cs="宋体"/>
          <w:color w:val="auto"/>
          <w:sz w:val="24"/>
          <w:szCs w:val="24"/>
          <w:highlight w:val="none"/>
          <w:shd w:val="clear" w:color="auto" w:fill="FFFFFF"/>
          <w:lang w:val="en-US" w:eastAsia="zh-CN" w:bidi="ar"/>
        </w:rPr>
        <w:t>9</w:t>
      </w:r>
      <w:r>
        <w:rPr>
          <w:rFonts w:hint="eastAsia" w:ascii="宋体" w:hAnsi="宋体" w:cs="宋体"/>
          <w:color w:val="auto"/>
          <w:sz w:val="24"/>
          <w:szCs w:val="24"/>
          <w:highlight w:val="none"/>
          <w:shd w:val="clear" w:color="auto" w:fill="FFFFFF"/>
          <w:lang w:bidi="ar"/>
        </w:rPr>
        <w:t>、履约保证金：</w:t>
      </w:r>
      <w:r>
        <w:rPr>
          <w:rFonts w:hint="eastAsia" w:ascii="宋体" w:hAnsi="宋体" w:cs="宋体"/>
          <w:color w:val="auto"/>
          <w:sz w:val="24"/>
          <w:szCs w:val="24"/>
          <w:highlight w:val="none"/>
        </w:rPr>
        <w:t>本项目无需提交履约保证金。</w:t>
      </w:r>
    </w:p>
    <w:p w14:paraId="55B9C0D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、政府采购信用融资政策：中标供应商可凭政府采购合同办理融资贷款，详情请见江苏政府采购网“政采贷”专栏。</w:t>
      </w:r>
    </w:p>
    <w:p w14:paraId="40912E68">
      <w:pPr>
        <w:keepNext w:val="0"/>
        <w:keepLines w:val="0"/>
        <w:pageBreakBefore w:val="0"/>
        <w:widowControl/>
        <w:kinsoku/>
        <w:wordWrap/>
        <w:overflowPunct/>
        <w:topLinePunct w:val="0"/>
        <w:autoSpaceDE/>
        <w:autoSpaceDN/>
        <w:bidi w:val="0"/>
        <w:adjustRightInd/>
        <w:snapToGrid/>
        <w:spacing w:line="360" w:lineRule="auto"/>
        <w:ind w:left="481" w:leftChars="229" w:firstLine="0" w:firstLine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11</w:t>
      </w:r>
      <w:r>
        <w:rPr>
          <w:rFonts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政府采购履约资金扶持政策：</w:t>
      </w:r>
    </w:p>
    <w:p w14:paraId="0A061B31">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color w:val="auto"/>
          <w:sz w:val="24"/>
          <w:szCs w:val="24"/>
          <w:highlight w:val="none"/>
        </w:rPr>
      </w:pPr>
      <w:r>
        <w:rPr>
          <w:rFonts w:hint="eastAsia"/>
          <w:color w:val="auto"/>
          <w:sz w:val="24"/>
          <w:szCs w:val="24"/>
          <w:highlight w:val="none"/>
        </w:rPr>
        <w:t>依据《关于在全省政府采购领域推行电子履约保函（保险）的通知》（苏财购〔2023〕150号），中标供应商可通过江苏政府采购网“政府采购电子履约保函（保险）综合服务平台”线上办理履约保函（保险）。</w:t>
      </w:r>
    </w:p>
    <w:p w14:paraId="71D35CC3">
      <w:pPr>
        <w:keepNext w:val="0"/>
        <w:keepLines w:val="0"/>
        <w:pageBreakBefore w:val="0"/>
        <w:widowControl w:val="0"/>
        <w:kinsoku/>
        <w:wordWrap/>
        <w:overflowPunct/>
        <w:topLinePunct w:val="0"/>
        <w:autoSpaceDE/>
        <w:autoSpaceDN/>
        <w:bidi w:val="0"/>
        <w:adjustRightInd w:val="0"/>
        <w:snapToGrid w:val="0"/>
        <w:spacing w:line="360" w:lineRule="auto"/>
        <w:ind w:firstLine="241" w:firstLineChars="100"/>
        <w:textAlignment w:val="auto"/>
        <w:rPr>
          <w:rFonts w:hint="eastAsia"/>
          <w:color w:val="auto"/>
          <w:highlight w:val="none"/>
        </w:rPr>
      </w:pP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shd w:val="clear" w:color="auto" w:fill="FFFFFF"/>
        </w:rPr>
        <w:t>本项目允许投标单位报名多个标段，</w:t>
      </w:r>
      <w:r>
        <w:rPr>
          <w:rFonts w:hint="eastAsia" w:ascii="宋体" w:hAnsi="宋体" w:eastAsia="宋体" w:cs="宋体"/>
          <w:b/>
          <w:bCs/>
          <w:color w:val="auto"/>
          <w:sz w:val="24"/>
          <w:szCs w:val="24"/>
          <w:highlight w:val="none"/>
          <w:shd w:val="clear" w:color="auto" w:fill="FFFFFF"/>
          <w:lang w:eastAsia="zh-CN"/>
        </w:rPr>
        <w:t>各标段分别制作投标文件，</w:t>
      </w:r>
      <w:r>
        <w:rPr>
          <w:rFonts w:hint="eastAsia" w:ascii="宋体" w:hAnsi="宋体" w:eastAsia="宋体" w:cs="宋体"/>
          <w:b/>
          <w:bCs/>
          <w:color w:val="auto"/>
          <w:sz w:val="24"/>
          <w:szCs w:val="24"/>
          <w:highlight w:val="none"/>
          <w:shd w:val="clear" w:color="auto" w:fill="FFFFFF"/>
        </w:rPr>
        <w:t>但一个投标人最多只能就其中一个标段中标，标段开标顺序按标段号顺序确定。每个标段中标人为一名，按先开先中的原则，确定投标人的中标标段。已中标的投标人在后面的标段中失去得标权，由该标段具有得标权且评标总得分最高的为该标段中标人。</w:t>
      </w:r>
    </w:p>
    <w:p w14:paraId="6090B5BC">
      <w:pPr>
        <w:pStyle w:val="7"/>
        <w:spacing w:line="480" w:lineRule="auto"/>
        <w:ind w:firstLine="0"/>
        <w:rPr>
          <w:rFonts w:asciiTheme="majorEastAsia" w:hAnsiTheme="majorEastAsia" w:eastAsiaTheme="majorEastAsia"/>
          <w:color w:val="auto"/>
          <w:sz w:val="24"/>
          <w:szCs w:val="24"/>
          <w:highlight w:val="none"/>
        </w:rPr>
      </w:pPr>
      <w:r>
        <w:rPr>
          <w:rFonts w:hint="eastAsia" w:cs="宋体" w:asciiTheme="majorEastAsia" w:hAnsiTheme="majorEastAsia" w:eastAsiaTheme="majorEastAsia"/>
          <w:b/>
          <w:color w:val="auto"/>
          <w:sz w:val="24"/>
          <w:szCs w:val="24"/>
          <w:highlight w:val="none"/>
        </w:rPr>
        <w:t>七、</w:t>
      </w:r>
      <w:r>
        <w:rPr>
          <w:rFonts w:hint="eastAsia" w:asciiTheme="majorEastAsia" w:hAnsiTheme="majorEastAsia" w:eastAsiaTheme="majorEastAsia"/>
          <w:b/>
          <w:color w:val="auto"/>
          <w:sz w:val="24"/>
          <w:szCs w:val="24"/>
          <w:highlight w:val="none"/>
        </w:rPr>
        <w:t>本次招标投标保证金：</w:t>
      </w:r>
    </w:p>
    <w:p w14:paraId="5A1CF830">
      <w:pPr>
        <w:pStyle w:val="7"/>
        <w:spacing w:line="480" w:lineRule="auto"/>
        <w:rPr>
          <w:rFonts w:hint="eastAsia" w:ascii="宋体" w:hAnsi="宋体" w:cs="宋体"/>
          <w:b/>
          <w:color w:val="auto"/>
          <w:sz w:val="24"/>
          <w:szCs w:val="24"/>
          <w:highlight w:val="none"/>
          <w:shd w:val="clear" w:color="auto" w:fill="FFFFFF"/>
          <w:lang w:bidi="ar"/>
        </w:rPr>
      </w:pPr>
      <w:r>
        <w:rPr>
          <w:rFonts w:hint="eastAsia" w:asciiTheme="majorEastAsia" w:hAnsiTheme="majorEastAsia" w:eastAsiaTheme="majorEastAsia"/>
          <w:color w:val="auto"/>
          <w:sz w:val="24"/>
          <w:szCs w:val="24"/>
          <w:highlight w:val="none"/>
        </w:rPr>
        <w:t>本项目无须缴纳投标保证金。</w:t>
      </w:r>
    </w:p>
    <w:p w14:paraId="196204DE">
      <w:pPr>
        <w:widowControl/>
        <w:adjustRightInd w:val="0"/>
        <w:snapToGrid w:val="0"/>
        <w:spacing w:line="312" w:lineRule="auto"/>
        <w:jc w:val="left"/>
        <w:rPr>
          <w:color w:val="auto"/>
          <w:highlight w:val="none"/>
        </w:rPr>
      </w:pPr>
      <w:r>
        <w:rPr>
          <w:rFonts w:hint="eastAsia" w:ascii="宋体" w:hAnsi="宋体" w:cs="宋体"/>
          <w:b/>
          <w:color w:val="auto"/>
          <w:sz w:val="24"/>
          <w:szCs w:val="24"/>
          <w:highlight w:val="none"/>
          <w:shd w:val="clear" w:color="auto" w:fill="FFFFFF"/>
          <w:lang w:val="en-US" w:eastAsia="zh-CN" w:bidi="ar"/>
        </w:rPr>
        <w:t>八</w:t>
      </w:r>
      <w:r>
        <w:rPr>
          <w:rFonts w:hint="eastAsia" w:ascii="宋体" w:hAnsi="宋体" w:cs="宋体"/>
          <w:b/>
          <w:color w:val="auto"/>
          <w:sz w:val="24"/>
          <w:szCs w:val="24"/>
          <w:highlight w:val="none"/>
          <w:shd w:val="clear" w:color="auto" w:fill="FFFFFF"/>
          <w:lang w:bidi="ar"/>
        </w:rPr>
        <w:t xml:space="preserve">、对本次招标提出询问，请按以下方式联系： </w:t>
      </w:r>
    </w:p>
    <w:p w14:paraId="44A801E8">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 xml:space="preserve">1、采购人信息： </w:t>
      </w:r>
    </w:p>
    <w:p w14:paraId="790C526B">
      <w:pPr>
        <w:widowControl/>
        <w:adjustRightInd w:val="0"/>
        <w:snapToGrid w:val="0"/>
        <w:spacing w:line="360" w:lineRule="auto"/>
        <w:ind w:firstLine="420"/>
        <w:jc w:val="left"/>
        <w:rPr>
          <w:color w:val="auto"/>
          <w:sz w:val="24"/>
          <w:szCs w:val="24"/>
          <w:highlight w:val="none"/>
        </w:rPr>
      </w:pPr>
      <w:r>
        <w:rPr>
          <w:rFonts w:hint="eastAsia" w:ascii="宋体" w:hAnsi="宋体" w:cs="宋体"/>
          <w:color w:val="auto"/>
          <w:sz w:val="24"/>
          <w:szCs w:val="24"/>
          <w:highlight w:val="none"/>
          <w:shd w:val="clear" w:color="auto" w:fill="FFFFFF"/>
          <w:lang w:bidi="ar"/>
        </w:rPr>
        <w:t>名称：</w:t>
      </w:r>
      <w:r>
        <w:rPr>
          <w:rFonts w:hint="eastAsia"/>
          <w:color w:val="auto"/>
          <w:sz w:val="24"/>
          <w:szCs w:val="24"/>
          <w:highlight w:val="none"/>
          <w:lang w:eastAsia="zh-CN"/>
        </w:rPr>
        <w:t>太仓港经济技术开发区管理委员会</w:t>
      </w:r>
    </w:p>
    <w:p w14:paraId="6DD48762">
      <w:pPr>
        <w:widowControl/>
        <w:adjustRightInd w:val="0"/>
        <w:snapToGrid w:val="0"/>
        <w:spacing w:line="360" w:lineRule="auto"/>
        <w:ind w:firstLine="420"/>
        <w:jc w:val="left"/>
        <w:rPr>
          <w:color w:val="auto"/>
          <w:sz w:val="24"/>
          <w:szCs w:val="24"/>
          <w:highlight w:val="none"/>
        </w:rPr>
      </w:pPr>
      <w:r>
        <w:rPr>
          <w:rFonts w:hint="eastAsia" w:ascii="宋体" w:hAnsi="宋体" w:cs="宋体"/>
          <w:color w:val="auto"/>
          <w:sz w:val="24"/>
          <w:szCs w:val="24"/>
          <w:highlight w:val="none"/>
          <w:shd w:val="clear" w:color="auto" w:fill="FFFFFF"/>
          <w:lang w:bidi="ar"/>
        </w:rPr>
        <w:t>地址</w:t>
      </w:r>
      <w:r>
        <w:rPr>
          <w:rFonts w:hint="eastAsia"/>
          <w:color w:val="auto"/>
          <w:sz w:val="24"/>
          <w:szCs w:val="24"/>
          <w:highlight w:val="none"/>
        </w:rPr>
        <w:t>：  太仓市浮桥镇北环路8号太仓港大厦</w:t>
      </w:r>
    </w:p>
    <w:p w14:paraId="04A24CD4">
      <w:pPr>
        <w:spacing w:beforeLines="50" w:afterLines="50" w:line="360" w:lineRule="auto"/>
        <w:ind w:firstLine="480"/>
        <w:jc w:val="left"/>
        <w:rPr>
          <w:rFonts w:hint="eastAsia" w:ascii="宋体" w:hAnsi="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rPr>
        <w:t>联系人：</w:t>
      </w:r>
      <w:r>
        <w:rPr>
          <w:rFonts w:hint="eastAsia" w:cs="宋体"/>
          <w:color w:val="auto"/>
          <w:sz w:val="24"/>
          <w:szCs w:val="24"/>
          <w:highlight w:val="none"/>
          <w:lang w:val="en-US" w:eastAsia="zh-CN"/>
        </w:rPr>
        <w:t>刘佳兴</w:t>
      </w:r>
      <w:r>
        <w:rPr>
          <w:rFonts w:hint="eastAsia" w:ascii="宋体" w:eastAsia="宋体"/>
          <w:color w:val="auto"/>
          <w:sz w:val="24"/>
          <w:szCs w:val="24"/>
          <w:highlight w:val="none"/>
        </w:rPr>
        <w:t xml:space="preserve"> 联系电话：</w:t>
      </w:r>
      <w:r>
        <w:rPr>
          <w:rFonts w:hint="eastAsia" w:ascii="宋体"/>
          <w:color w:val="auto"/>
          <w:sz w:val="24"/>
          <w:szCs w:val="24"/>
          <w:highlight w:val="none"/>
          <w:lang w:val="en-US" w:eastAsia="zh-CN"/>
        </w:rPr>
        <w:t>53187880</w:t>
      </w:r>
    </w:p>
    <w:p w14:paraId="4B977AA1">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 xml:space="preserve">2、采购代理机构信息 </w:t>
      </w:r>
    </w:p>
    <w:p w14:paraId="7828F503">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 xml:space="preserve">名称：江苏启越工程管理有限公司 </w:t>
      </w:r>
    </w:p>
    <w:p w14:paraId="4D2B33F9">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地址：太仓市东仓南路9号太仓创智科技企业孵化中心2楼</w:t>
      </w:r>
    </w:p>
    <w:p w14:paraId="4B5D8E7D">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联系人：</w:t>
      </w:r>
      <w:r>
        <w:rPr>
          <w:rFonts w:hint="eastAsia" w:ascii="宋体" w:hAnsi="宋体" w:cs="宋体"/>
          <w:color w:val="auto"/>
          <w:sz w:val="24"/>
          <w:szCs w:val="24"/>
          <w:highlight w:val="none"/>
          <w:shd w:val="clear" w:color="auto" w:fill="FFFFFF"/>
          <w:lang w:val="en-US" w:eastAsia="zh-CN" w:bidi="ar"/>
        </w:rPr>
        <w:t>徐艳</w:t>
      </w:r>
      <w:r>
        <w:rPr>
          <w:rFonts w:hint="eastAsia" w:ascii="宋体" w:hAnsi="宋体" w:cs="宋体"/>
          <w:color w:val="auto"/>
          <w:sz w:val="24"/>
          <w:szCs w:val="24"/>
          <w:highlight w:val="none"/>
          <w:shd w:val="clear" w:color="auto" w:fill="FFFFFF"/>
          <w:lang w:bidi="ar"/>
        </w:rPr>
        <w:t xml:space="preserve">    联系电话：15365324601</w:t>
      </w:r>
    </w:p>
    <w:p w14:paraId="485CD042">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 xml:space="preserve">3.项目联系方式 </w:t>
      </w:r>
    </w:p>
    <w:p w14:paraId="4A6D478B">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项目联系人：</w:t>
      </w:r>
      <w:r>
        <w:rPr>
          <w:rFonts w:hint="eastAsia" w:ascii="宋体" w:hAnsi="宋体" w:cs="宋体"/>
          <w:color w:val="auto"/>
          <w:sz w:val="24"/>
          <w:szCs w:val="24"/>
          <w:highlight w:val="none"/>
          <w:shd w:val="clear" w:color="auto" w:fill="FFFFFF"/>
          <w:lang w:val="en-US" w:eastAsia="zh-CN" w:bidi="ar"/>
        </w:rPr>
        <w:t>徐艳</w:t>
      </w:r>
      <w:r>
        <w:rPr>
          <w:rFonts w:hint="eastAsia" w:ascii="宋体" w:hAnsi="宋体" w:cs="宋体"/>
          <w:color w:val="auto"/>
          <w:sz w:val="24"/>
          <w:szCs w:val="24"/>
          <w:highlight w:val="none"/>
          <w:shd w:val="clear" w:color="auto" w:fill="FFFFFF"/>
          <w:lang w:bidi="ar"/>
        </w:rPr>
        <w:t xml:space="preserve">  联系电话：15365324601</w:t>
      </w:r>
    </w:p>
    <w:p w14:paraId="44B7C772">
      <w:pPr>
        <w:pBdr>
          <w:top w:val="none" w:color="000000" w:sz="0" w:space="0"/>
          <w:left w:val="none" w:color="000000" w:sz="0" w:space="0"/>
          <w:bottom w:val="none" w:color="000000" w:sz="0" w:space="0"/>
          <w:right w:val="none" w:color="000000" w:sz="0" w:space="0"/>
        </w:pBdr>
        <w:spacing w:line="360" w:lineRule="auto"/>
        <w:ind w:firstLine="482"/>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color w:val="auto"/>
          <w:sz w:val="24"/>
          <w:szCs w:val="24"/>
          <w:highlight w:val="none"/>
        </w:rPr>
        <w:t>4</w:t>
      </w:r>
      <w:r>
        <w:rPr>
          <w:rFonts w:hint="eastAsia" w:asciiTheme="majorEastAsia" w:hAnsiTheme="majorEastAsia" w:eastAsiaTheme="majorEastAsia"/>
          <w:b w:val="0"/>
          <w:bCs w:val="0"/>
          <w:color w:val="auto"/>
          <w:sz w:val="24"/>
          <w:szCs w:val="24"/>
          <w:highlight w:val="none"/>
        </w:rPr>
        <w:t>、</w:t>
      </w:r>
      <w:r>
        <w:rPr>
          <w:rFonts w:ascii="宋体" w:hAnsi="宋体" w:cs="宋体"/>
          <w:b w:val="0"/>
          <w:bCs w:val="0"/>
          <w:color w:val="auto"/>
          <w:sz w:val="24"/>
          <w:highlight w:val="none"/>
        </w:rPr>
        <w:t>有关电子投标制作技术疑问，请咨询苏采云软件公司客服：18261002950、0512-69820854、0519-86722802</w:t>
      </w:r>
    </w:p>
    <w:p w14:paraId="6DC445F1">
      <w:pPr>
        <w:pStyle w:val="7"/>
        <w:spacing w:line="360" w:lineRule="auto"/>
        <w:ind w:firstLine="0"/>
        <w:rPr>
          <w:color w:val="auto"/>
          <w:highlight w:val="none"/>
        </w:rPr>
      </w:pPr>
      <w:r>
        <w:rPr>
          <w:rFonts w:hint="eastAsia" w:asciiTheme="majorEastAsia" w:hAnsiTheme="majorEastAsia" w:eastAsiaTheme="majorEastAsia"/>
          <w:b/>
          <w:bCs/>
          <w:color w:val="auto"/>
          <w:sz w:val="24"/>
          <w:szCs w:val="24"/>
          <w:highlight w:val="none"/>
          <w:lang w:val="en-US" w:eastAsia="zh-CN"/>
        </w:rPr>
        <w:t>九</w:t>
      </w:r>
      <w:r>
        <w:rPr>
          <w:rFonts w:hint="eastAsia" w:asciiTheme="majorEastAsia" w:hAnsiTheme="majorEastAsia" w:eastAsiaTheme="majorEastAsia"/>
          <w:b/>
          <w:bCs/>
          <w:color w:val="auto"/>
          <w:sz w:val="24"/>
          <w:szCs w:val="24"/>
          <w:highlight w:val="none"/>
        </w:rPr>
        <w:t>、政府采购</w:t>
      </w:r>
      <w:r>
        <w:rPr>
          <w:rFonts w:hint="eastAsia" w:asciiTheme="majorEastAsia" w:hAnsiTheme="majorEastAsia" w:eastAsiaTheme="majorEastAsia"/>
          <w:b/>
          <w:color w:val="auto"/>
          <w:sz w:val="24"/>
          <w:szCs w:val="24"/>
          <w:highlight w:val="none"/>
        </w:rPr>
        <w:t>监督电话：</w:t>
      </w:r>
      <w:r>
        <w:rPr>
          <w:rFonts w:hint="eastAsia" w:asciiTheme="majorEastAsia" w:hAnsiTheme="majorEastAsia" w:eastAsiaTheme="majorEastAsia"/>
          <w:color w:val="auto"/>
          <w:sz w:val="24"/>
          <w:szCs w:val="24"/>
          <w:highlight w:val="none"/>
        </w:rPr>
        <w:t>0512-</w:t>
      </w:r>
      <w:r>
        <w:rPr>
          <w:rFonts w:asciiTheme="majorEastAsia" w:hAnsiTheme="majorEastAsia" w:eastAsiaTheme="majorEastAsia"/>
          <w:color w:val="auto"/>
          <w:sz w:val="24"/>
          <w:szCs w:val="24"/>
          <w:highlight w:val="none"/>
        </w:rPr>
        <w:t>53512539</w:t>
      </w:r>
    </w:p>
    <w:p w14:paraId="01AF2CF7">
      <w:pPr>
        <w:widowControl/>
        <w:adjustRightInd w:val="0"/>
        <w:snapToGrid w:val="0"/>
        <w:spacing w:line="312" w:lineRule="auto"/>
        <w:ind w:firstLine="480" w:firstLineChars="200"/>
        <w:jc w:val="right"/>
        <w:rPr>
          <w:color w:val="auto"/>
          <w:highlight w:val="none"/>
        </w:rPr>
      </w:pPr>
      <w:r>
        <w:rPr>
          <w:rFonts w:hint="eastAsia" w:ascii="宋体" w:hAnsi="宋体" w:cs="宋体"/>
          <w:color w:val="auto"/>
          <w:sz w:val="24"/>
          <w:szCs w:val="24"/>
          <w:highlight w:val="none"/>
          <w:shd w:val="clear" w:color="auto" w:fill="FFFFFF"/>
          <w:lang w:bidi="ar"/>
        </w:rPr>
        <w:t xml:space="preserve">江苏启越工程管理有限公司 </w:t>
      </w:r>
    </w:p>
    <w:p w14:paraId="7717BFA8">
      <w:pPr>
        <w:widowControl/>
        <w:adjustRightInd w:val="0"/>
        <w:snapToGrid w:val="0"/>
        <w:spacing w:line="312" w:lineRule="auto"/>
        <w:jc w:val="center"/>
        <w:rPr>
          <w:color w:val="auto"/>
          <w:highlight w:val="none"/>
        </w:rPr>
      </w:pPr>
      <w:r>
        <w:rPr>
          <w:rFonts w:hint="eastAsia" w:ascii="宋体" w:hAnsi="宋体" w:cs="宋体"/>
          <w:color w:val="auto"/>
          <w:sz w:val="24"/>
          <w:szCs w:val="24"/>
          <w:highlight w:val="none"/>
          <w:shd w:val="clear" w:color="auto" w:fill="FFFFFF"/>
          <w:lang w:bidi="ar"/>
        </w:rPr>
        <w:t xml:space="preserve">                                                     202</w:t>
      </w:r>
      <w:r>
        <w:rPr>
          <w:rFonts w:hint="eastAsia" w:ascii="宋体" w:hAnsi="宋体" w:cs="宋体"/>
          <w:color w:val="auto"/>
          <w:sz w:val="24"/>
          <w:szCs w:val="24"/>
          <w:highlight w:val="none"/>
          <w:shd w:val="clear" w:color="auto" w:fill="FFFFFF"/>
          <w:lang w:val="en-US" w:eastAsia="zh-CN" w:bidi="ar"/>
        </w:rPr>
        <w:t>6</w:t>
      </w:r>
      <w:r>
        <w:rPr>
          <w:rFonts w:hint="eastAsia" w:ascii="宋体" w:hAnsi="宋体" w:cs="宋体"/>
          <w:color w:val="auto"/>
          <w:sz w:val="24"/>
          <w:szCs w:val="24"/>
          <w:highlight w:val="none"/>
          <w:shd w:val="clear" w:color="auto" w:fill="FFFFFF"/>
          <w:lang w:bidi="ar"/>
        </w:rPr>
        <w:t>年</w:t>
      </w:r>
      <w:r>
        <w:rPr>
          <w:rFonts w:hint="eastAsia" w:ascii="宋体" w:hAnsi="宋体" w:cs="宋体"/>
          <w:color w:val="auto"/>
          <w:sz w:val="24"/>
          <w:szCs w:val="24"/>
          <w:highlight w:val="none"/>
          <w:shd w:val="clear" w:color="auto" w:fill="FFFFFF"/>
          <w:lang w:val="en-US" w:eastAsia="zh-CN" w:bidi="ar"/>
        </w:rPr>
        <w:t>1</w:t>
      </w:r>
      <w:r>
        <w:rPr>
          <w:rFonts w:hint="eastAsia" w:ascii="宋体" w:hAnsi="宋体" w:cs="宋体"/>
          <w:color w:val="auto"/>
          <w:sz w:val="24"/>
          <w:szCs w:val="24"/>
          <w:highlight w:val="none"/>
          <w:shd w:val="clear" w:color="auto" w:fill="FFFFFF"/>
          <w:lang w:bidi="ar"/>
        </w:rPr>
        <w:t>月</w:t>
      </w:r>
      <w:r>
        <w:rPr>
          <w:rFonts w:hint="eastAsia" w:ascii="宋体" w:hAnsi="宋体" w:cs="宋体"/>
          <w:color w:val="auto"/>
          <w:sz w:val="24"/>
          <w:szCs w:val="24"/>
          <w:highlight w:val="none"/>
          <w:shd w:val="clear" w:color="auto" w:fill="FFFFFF"/>
          <w:lang w:val="en-US" w:eastAsia="zh-CN" w:bidi="ar"/>
        </w:rPr>
        <w:t xml:space="preserve"> 12</w:t>
      </w:r>
      <w:r>
        <w:rPr>
          <w:rFonts w:hint="eastAsia" w:ascii="宋体" w:hAnsi="宋体" w:cs="宋体"/>
          <w:color w:val="auto"/>
          <w:kern w:val="0"/>
          <w:sz w:val="24"/>
          <w:szCs w:val="24"/>
          <w:highlight w:val="none"/>
          <w:shd w:val="clear" w:color="auto" w:fill="FFFFFF"/>
          <w:lang w:bidi="ar"/>
        </w:rPr>
        <w:t>日</w:t>
      </w:r>
    </w:p>
    <w:p w14:paraId="3E048A70">
      <w:pPr>
        <w:pStyle w:val="11"/>
        <w:jc w:val="both"/>
        <w:rPr>
          <w:color w:val="auto"/>
          <w:sz w:val="30"/>
          <w:szCs w:val="30"/>
          <w:highlight w:val="none"/>
        </w:rPr>
      </w:pPr>
    </w:p>
    <w:p w14:paraId="1B50DF22">
      <w:pPr>
        <w:pStyle w:val="11"/>
        <w:jc w:val="both"/>
        <w:rPr>
          <w:rFonts w:hint="eastAsia" w:ascii="宋体" w:hAnsi="宋体" w:eastAsia="宋体" w:cs="宋体"/>
          <w:color w:val="auto"/>
          <w:sz w:val="44"/>
          <w:szCs w:val="44"/>
          <w:highlight w:val="none"/>
        </w:rPr>
      </w:pPr>
    </w:p>
    <w:p w14:paraId="4E9C24B2">
      <w:pPr>
        <w:pStyle w:val="11"/>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第二部分  投标人须知</w:t>
      </w:r>
    </w:p>
    <w:p w14:paraId="06532243">
      <w:pPr>
        <w:spacing w:line="440" w:lineRule="exact"/>
        <w:rPr>
          <w:rFonts w:ascii="宋体" w:hAnsi="宋体"/>
          <w:color w:val="auto"/>
          <w:sz w:val="24"/>
          <w:szCs w:val="24"/>
          <w:highlight w:val="none"/>
        </w:rPr>
      </w:pPr>
      <w:r>
        <w:rPr>
          <w:rFonts w:hint="eastAsia" w:ascii="宋体" w:hAnsi="宋体"/>
          <w:b/>
          <w:color w:val="auto"/>
          <w:sz w:val="24"/>
          <w:szCs w:val="24"/>
          <w:highlight w:val="none"/>
        </w:rPr>
        <w:t>一、说明和释义</w:t>
      </w:r>
    </w:p>
    <w:p w14:paraId="4872910A">
      <w:pPr>
        <w:spacing w:line="440" w:lineRule="exact"/>
        <w:rPr>
          <w:rFonts w:ascii="宋体" w:hAnsi="宋体"/>
          <w:b/>
          <w:color w:val="auto"/>
          <w:sz w:val="24"/>
          <w:szCs w:val="24"/>
          <w:highlight w:val="none"/>
        </w:rPr>
      </w:pPr>
      <w:r>
        <w:rPr>
          <w:rFonts w:hint="eastAsia" w:ascii="宋体" w:hAnsi="宋体"/>
          <w:b/>
          <w:color w:val="auto"/>
          <w:sz w:val="24"/>
          <w:szCs w:val="24"/>
          <w:highlight w:val="none"/>
        </w:rPr>
        <w:t>1. 说明</w:t>
      </w:r>
    </w:p>
    <w:p w14:paraId="0B1ED38F">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1.1本招标文件仅适用于江苏启越工程管理有限公司组织的招标活动。</w:t>
      </w:r>
    </w:p>
    <w:p w14:paraId="0B02661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1.2本次招标活动及因本次招标产生的合同受中国法律制约和保护。</w:t>
      </w:r>
    </w:p>
    <w:p w14:paraId="39146467">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1.3本招标文件的解释权属于江苏启越工程管理有限公司。</w:t>
      </w:r>
    </w:p>
    <w:p w14:paraId="436DF3F5">
      <w:pPr>
        <w:spacing w:line="440" w:lineRule="exact"/>
        <w:rPr>
          <w:rFonts w:ascii="宋体" w:hAnsi="宋体"/>
          <w:b/>
          <w:color w:val="auto"/>
          <w:sz w:val="24"/>
          <w:szCs w:val="24"/>
          <w:highlight w:val="none"/>
        </w:rPr>
      </w:pPr>
      <w:r>
        <w:rPr>
          <w:rFonts w:hint="eastAsia" w:ascii="宋体" w:hAnsi="宋体"/>
          <w:b/>
          <w:color w:val="auto"/>
          <w:sz w:val="24"/>
          <w:szCs w:val="24"/>
          <w:highlight w:val="none"/>
        </w:rPr>
        <w:t>2. 词语释义</w:t>
      </w:r>
    </w:p>
    <w:p w14:paraId="6DC0526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2.1采购代理机构：具体组织实施招标活动的法人。本项目采购代理机构是江苏启越工程管理有限公司</w:t>
      </w:r>
    </w:p>
    <w:p w14:paraId="3F22B73F">
      <w:pPr>
        <w:spacing w:line="44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2.2投标人：经认定有资格响应招标，参加投标竞争的法人或其他组织和自然人。</w:t>
      </w:r>
    </w:p>
    <w:p w14:paraId="5242564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2.3响应：投标人根据采购人或采购代理机构发布的招标文件，编制投标文件并按规定投标的行为。</w:t>
      </w:r>
    </w:p>
    <w:p w14:paraId="744F071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2.4合同：采供双方根据招标文件和中标的投标文件及中标通知书规定的内容签署的以书面形式所达成的协议，包括所有的附件、附录和构成协议的所有文件。</w:t>
      </w:r>
    </w:p>
    <w:p w14:paraId="5FB3E415">
      <w:pPr>
        <w:spacing w:line="440" w:lineRule="exact"/>
        <w:ind w:firstLine="360" w:firstLineChars="150"/>
        <w:rPr>
          <w:rFonts w:ascii="宋体" w:hAnsi="宋体"/>
          <w:color w:val="auto"/>
          <w:sz w:val="24"/>
          <w:szCs w:val="24"/>
          <w:highlight w:val="none"/>
        </w:rPr>
      </w:pPr>
      <w:r>
        <w:rPr>
          <w:rFonts w:ascii="宋体" w:hAnsi="宋体"/>
          <w:color w:val="auto"/>
          <w:sz w:val="24"/>
          <w:szCs w:val="24"/>
          <w:highlight w:val="none"/>
        </w:rPr>
        <w:t>2.5</w:t>
      </w:r>
      <w:r>
        <w:rPr>
          <w:rFonts w:hint="eastAsia" w:ascii="宋体" w:hAnsi="宋体"/>
          <w:color w:val="auto"/>
          <w:sz w:val="24"/>
          <w:szCs w:val="24"/>
          <w:highlight w:val="none"/>
        </w:rPr>
        <w:t>甲方（采购方）：合同中明确规定的实际购买货物和服务的法人或其他组织和自然人（采购人）</w:t>
      </w:r>
    </w:p>
    <w:p w14:paraId="49C12CA0">
      <w:pPr>
        <w:spacing w:line="440" w:lineRule="exact"/>
        <w:ind w:firstLine="360" w:firstLineChars="150"/>
        <w:rPr>
          <w:rFonts w:ascii="宋体" w:hAnsi="宋体"/>
          <w:color w:val="auto"/>
          <w:sz w:val="24"/>
          <w:szCs w:val="24"/>
          <w:highlight w:val="none"/>
        </w:rPr>
      </w:pPr>
      <w:r>
        <w:rPr>
          <w:rFonts w:ascii="宋体" w:hAnsi="宋体"/>
          <w:color w:val="auto"/>
          <w:sz w:val="24"/>
          <w:szCs w:val="24"/>
          <w:highlight w:val="none"/>
        </w:rPr>
        <w:t>2.6</w:t>
      </w:r>
      <w:r>
        <w:rPr>
          <w:rFonts w:hint="eastAsia" w:ascii="宋体" w:hAnsi="宋体"/>
          <w:color w:val="auto"/>
          <w:sz w:val="24"/>
          <w:szCs w:val="24"/>
          <w:highlight w:val="none"/>
        </w:rPr>
        <w:t>乙方（供应商）：合同中规定的向采购方提供货物和服务的法人或其他组织和自然人（</w:t>
      </w:r>
      <w:r>
        <w:rPr>
          <w:rFonts w:hint="eastAsia" w:ascii="宋体" w:hAnsi="宋体"/>
          <w:color w:val="auto"/>
          <w:sz w:val="24"/>
          <w:szCs w:val="24"/>
          <w:highlight w:val="none"/>
          <w:lang w:eastAsia="zh-CN"/>
        </w:rPr>
        <w:t>中标单位</w:t>
      </w:r>
      <w:r>
        <w:rPr>
          <w:rFonts w:hint="eastAsia" w:ascii="宋体" w:hAnsi="宋体"/>
          <w:color w:val="auto"/>
          <w:sz w:val="24"/>
          <w:szCs w:val="24"/>
          <w:highlight w:val="none"/>
        </w:rPr>
        <w:t>）</w:t>
      </w:r>
    </w:p>
    <w:p w14:paraId="79701182">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2.7货物：系指乙方按招标采购文件规定，应向甲方提供的一切设备、备品、备件、工具、手册及其它有关技术资料和材料。</w:t>
      </w:r>
    </w:p>
    <w:p w14:paraId="47A6422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48EFD80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2.9知识产权：指专利权、商标权、著作权等无形财产专有权的统称。</w:t>
      </w:r>
    </w:p>
    <w:p w14:paraId="03B0E00A">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2.10天：日历日。</w:t>
      </w:r>
    </w:p>
    <w:p w14:paraId="42C8BDA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2.11交货地点：合同中明确约定的乙方提交的货物和服务最终到达地点。</w:t>
      </w:r>
    </w:p>
    <w:p w14:paraId="2E74194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2.12 合同价款：根据合同规定，乙方在正确地履行合同义务后甲方应支付乙方的价款。</w:t>
      </w:r>
    </w:p>
    <w:p w14:paraId="334FC66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2.13 产地：货物开采、生长、生产、最终制造、加工或提供服务的来源地。</w:t>
      </w:r>
    </w:p>
    <w:p w14:paraId="79CE2E0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2.14不可抗力：不能预见、不能避免并且不能克服的客观情况。</w:t>
      </w:r>
    </w:p>
    <w:p w14:paraId="6DBF0C8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2.15 实质性响应：满足有关本次采购标的、数量、质量、价款或者报酬、履行期限、履行地点和方式、违约责任和解决争议方法等要求。</w:t>
      </w:r>
    </w:p>
    <w:p w14:paraId="0A70356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3B31B08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2.17进口产品：指通过中国海关报关验收进入中国境内且产自境外的产品。</w:t>
      </w:r>
    </w:p>
    <w:p w14:paraId="344F1B4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2.18书面形式：指书面文字、合同书、信件和传真等可以有形地表现所载内容的形式。</w:t>
      </w:r>
    </w:p>
    <w:p w14:paraId="5F5A395A">
      <w:pPr>
        <w:spacing w:line="440" w:lineRule="exact"/>
        <w:rPr>
          <w:rFonts w:ascii="宋体" w:hAnsi="宋体"/>
          <w:b/>
          <w:color w:val="auto"/>
          <w:sz w:val="24"/>
          <w:szCs w:val="24"/>
          <w:highlight w:val="none"/>
        </w:rPr>
      </w:pPr>
      <w:r>
        <w:rPr>
          <w:rFonts w:hint="eastAsia" w:ascii="宋体" w:hAnsi="宋体"/>
          <w:b/>
          <w:color w:val="auto"/>
          <w:sz w:val="24"/>
          <w:szCs w:val="24"/>
          <w:highlight w:val="none"/>
        </w:rPr>
        <w:t>二、 投标人</w:t>
      </w:r>
    </w:p>
    <w:p w14:paraId="69C3E61D">
      <w:pPr>
        <w:spacing w:line="440" w:lineRule="exact"/>
        <w:rPr>
          <w:rFonts w:ascii="宋体" w:hAnsi="宋体"/>
          <w:b/>
          <w:color w:val="auto"/>
          <w:sz w:val="24"/>
          <w:szCs w:val="24"/>
          <w:highlight w:val="none"/>
        </w:rPr>
      </w:pPr>
      <w:r>
        <w:rPr>
          <w:rFonts w:hint="eastAsia" w:ascii="宋体" w:hAnsi="宋体"/>
          <w:b/>
          <w:color w:val="auto"/>
          <w:sz w:val="24"/>
          <w:szCs w:val="24"/>
          <w:highlight w:val="none"/>
        </w:rPr>
        <w:t>3. 合格投标人的基本条件</w:t>
      </w:r>
    </w:p>
    <w:p w14:paraId="134638A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3.1符合《中华人民共和国政府采购法》第二十二条第一款之规定；</w:t>
      </w:r>
    </w:p>
    <w:p w14:paraId="499F2C74">
      <w:pPr>
        <w:spacing w:line="440" w:lineRule="exact"/>
        <w:ind w:firstLine="360" w:firstLineChars="150"/>
        <w:rPr>
          <w:rFonts w:hint="eastAsia" w:ascii="宋体" w:hAnsi="宋体"/>
          <w:b/>
          <w:color w:val="auto"/>
          <w:sz w:val="24"/>
          <w:szCs w:val="24"/>
          <w:highlight w:val="none"/>
        </w:rPr>
      </w:pPr>
      <w:r>
        <w:rPr>
          <w:rFonts w:hint="eastAsia" w:ascii="宋体" w:hAnsi="宋体"/>
          <w:color w:val="auto"/>
          <w:sz w:val="24"/>
          <w:szCs w:val="24"/>
          <w:highlight w:val="none"/>
        </w:rPr>
        <w:t>3.2满足本文件实质性条款的规定。</w:t>
      </w:r>
    </w:p>
    <w:p w14:paraId="5B35E762">
      <w:pPr>
        <w:spacing w:line="440" w:lineRule="exact"/>
        <w:rPr>
          <w:rFonts w:ascii="宋体" w:hAnsi="宋体"/>
          <w:b/>
          <w:color w:val="auto"/>
          <w:sz w:val="24"/>
          <w:szCs w:val="24"/>
          <w:highlight w:val="none"/>
        </w:rPr>
      </w:pPr>
      <w:r>
        <w:rPr>
          <w:rFonts w:hint="eastAsia" w:ascii="宋体" w:hAnsi="宋体"/>
          <w:b/>
          <w:color w:val="auto"/>
          <w:sz w:val="24"/>
          <w:szCs w:val="24"/>
          <w:highlight w:val="none"/>
        </w:rPr>
        <w:t>4．合格投标人的特定条件</w:t>
      </w:r>
    </w:p>
    <w:p w14:paraId="64CC87E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4.1 按招标公告规定。</w:t>
      </w:r>
    </w:p>
    <w:p w14:paraId="16103500">
      <w:pPr>
        <w:spacing w:line="440" w:lineRule="exact"/>
        <w:rPr>
          <w:rFonts w:ascii="宋体" w:hAnsi="宋体"/>
          <w:b/>
          <w:color w:val="auto"/>
          <w:sz w:val="24"/>
          <w:szCs w:val="24"/>
          <w:highlight w:val="none"/>
        </w:rPr>
      </w:pPr>
      <w:r>
        <w:rPr>
          <w:rFonts w:hint="eastAsia" w:ascii="宋体" w:hAnsi="宋体"/>
          <w:b/>
          <w:color w:val="auto"/>
          <w:sz w:val="24"/>
          <w:szCs w:val="24"/>
          <w:highlight w:val="none"/>
        </w:rPr>
        <w:t>5. 投标人代表</w:t>
      </w:r>
    </w:p>
    <w:p w14:paraId="3EFF75A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5.1指全权代表投标人参加投标活动并签署投标文件的人，如果投标人代表不是法人代表，须持有《法人代表授权委托书》（详见统一格式）。</w:t>
      </w:r>
    </w:p>
    <w:p w14:paraId="42B6E12A">
      <w:pPr>
        <w:widowControl/>
        <w:pBdr>
          <w:top w:val="none" w:color="000000" w:sz="0" w:space="0"/>
          <w:left w:val="none" w:color="000000" w:sz="0" w:space="0"/>
          <w:bottom w:val="none" w:color="000000" w:sz="0" w:space="0"/>
          <w:right w:val="none" w:color="000000" w:sz="0" w:space="0"/>
        </w:pBdr>
        <w:spacing w:after="0" w:line="439" w:lineRule="atLeast"/>
        <w:jc w:val="both"/>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6. 联合投标及转包、分包</w:t>
      </w:r>
    </w:p>
    <w:p w14:paraId="57A75A64">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6.1</w:t>
      </w:r>
      <w:r>
        <w:rPr>
          <w:rFonts w:hint="eastAsia" w:ascii="宋体" w:hAnsi="宋体" w:eastAsia="宋体" w:cs="宋体"/>
          <w:color w:val="auto"/>
          <w:kern w:val="0"/>
          <w:sz w:val="24"/>
          <w:szCs w:val="22"/>
          <w:highlight w:val="none"/>
          <w:lang w:eastAsia="zh-CN"/>
        </w:rPr>
        <w:t>本项目不接受联合体投标</w:t>
      </w:r>
      <w:r>
        <w:rPr>
          <w:rFonts w:hint="default" w:ascii="宋体" w:hAnsi="宋体" w:eastAsia="宋体" w:cs="宋体"/>
          <w:color w:val="auto"/>
          <w:kern w:val="0"/>
          <w:sz w:val="24"/>
          <w:szCs w:val="22"/>
          <w:highlight w:val="none"/>
          <w:lang w:eastAsia="zh-CN"/>
        </w:rPr>
        <w:t>。</w:t>
      </w:r>
    </w:p>
    <w:p w14:paraId="53CD8EC4">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eastAsia" w:ascii="宋体" w:hAnsi="宋体" w:eastAsia="宋体" w:cs="宋体"/>
          <w:color w:val="auto"/>
          <w:kern w:val="0"/>
          <w:sz w:val="24"/>
          <w:szCs w:val="22"/>
          <w:highlight w:val="none"/>
          <w:lang w:eastAsia="zh-CN"/>
        </w:rPr>
        <w:t>6.2本项目不接受转包</w:t>
      </w:r>
    </w:p>
    <w:p w14:paraId="11922C55">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Arial" w:hAnsi="Arial" w:eastAsia="Arial" w:cs="Arial"/>
          <w:color w:val="auto"/>
          <w:kern w:val="0"/>
          <w:sz w:val="22"/>
          <w:szCs w:val="22"/>
          <w:highlight w:val="none"/>
          <w:lang w:eastAsia="zh-CN"/>
        </w:rPr>
      </w:pPr>
      <w:r>
        <w:rPr>
          <w:rFonts w:hint="eastAsia" w:ascii="宋体" w:hAnsi="宋体" w:eastAsia="宋体" w:cs="宋体"/>
          <w:color w:val="auto"/>
          <w:kern w:val="0"/>
          <w:sz w:val="24"/>
          <w:szCs w:val="22"/>
          <w:highlight w:val="none"/>
          <w:lang w:eastAsia="zh-CN"/>
        </w:rPr>
        <w:t>6</w:t>
      </w:r>
      <w:r>
        <w:rPr>
          <w:rFonts w:hint="default" w:ascii="宋体" w:hAnsi="宋体" w:eastAsia="宋体" w:cs="宋体"/>
          <w:color w:val="auto"/>
          <w:kern w:val="0"/>
          <w:sz w:val="24"/>
          <w:szCs w:val="22"/>
          <w:highlight w:val="none"/>
          <w:lang w:eastAsia="zh-CN"/>
        </w:rPr>
        <w:t>.3</w:t>
      </w:r>
      <w:r>
        <w:rPr>
          <w:rFonts w:hint="eastAsia" w:ascii="宋体" w:hAnsi="宋体" w:eastAsia="宋体" w:cs="宋体"/>
          <w:color w:val="auto"/>
          <w:kern w:val="0"/>
          <w:sz w:val="24"/>
          <w:szCs w:val="22"/>
          <w:highlight w:val="none"/>
          <w:lang w:eastAsia="zh-CN"/>
        </w:rPr>
        <w:t>本项目不接受分包。</w:t>
      </w:r>
    </w:p>
    <w:p w14:paraId="39B3235D">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7. 投标费用 </w:t>
      </w:r>
    </w:p>
    <w:p w14:paraId="4BDD291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7.1投标人应自行承担所有准备及参加投标的相关费用。不论投标结果如何，采购代理机构在任何情况下均无义务也无责任承担这些费用。</w:t>
      </w:r>
    </w:p>
    <w:p w14:paraId="290EF7FB">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7.2 本次招标项目收取中标服务费，请投标人在投标时充分考虑这一因素。</w:t>
      </w:r>
    </w:p>
    <w:p w14:paraId="7C66F512">
      <w:pPr>
        <w:spacing w:line="440" w:lineRule="exact"/>
        <w:rPr>
          <w:rFonts w:ascii="宋体" w:hAnsi="宋体"/>
          <w:b/>
          <w:color w:val="auto"/>
          <w:sz w:val="24"/>
          <w:szCs w:val="24"/>
          <w:highlight w:val="none"/>
        </w:rPr>
      </w:pPr>
      <w:r>
        <w:rPr>
          <w:rFonts w:hint="eastAsia" w:ascii="宋体" w:hAnsi="宋体"/>
          <w:b/>
          <w:color w:val="auto"/>
          <w:sz w:val="24"/>
          <w:szCs w:val="24"/>
          <w:highlight w:val="none"/>
        </w:rPr>
        <w:t>三、招标文件说明</w:t>
      </w:r>
    </w:p>
    <w:p w14:paraId="7E50842A">
      <w:pPr>
        <w:spacing w:line="440" w:lineRule="exact"/>
        <w:rPr>
          <w:rFonts w:ascii="宋体" w:hAnsi="宋体"/>
          <w:b/>
          <w:color w:val="auto"/>
          <w:sz w:val="24"/>
          <w:szCs w:val="24"/>
          <w:highlight w:val="none"/>
        </w:rPr>
      </w:pPr>
      <w:r>
        <w:rPr>
          <w:rFonts w:hint="eastAsia" w:ascii="宋体" w:hAnsi="宋体"/>
          <w:b/>
          <w:color w:val="auto"/>
          <w:sz w:val="24"/>
          <w:szCs w:val="24"/>
          <w:highlight w:val="none"/>
        </w:rPr>
        <w:t>8. 招标文件</w:t>
      </w:r>
    </w:p>
    <w:p w14:paraId="6B4A9E7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8.1招标文件由招标文件目录所列内容组成，投标人获得招标文件后，应仔细检查招标文件的所有内容，</w:t>
      </w:r>
      <w:r>
        <w:rPr>
          <w:rFonts w:hAnsi="宋体"/>
          <w:color w:val="auto"/>
          <w:sz w:val="24"/>
          <w:szCs w:val="24"/>
          <w:highlight w:val="none"/>
        </w:rPr>
        <w:t>如有缺漏，请立即与</w:t>
      </w:r>
      <w:r>
        <w:rPr>
          <w:rFonts w:hint="eastAsia" w:ascii="宋体" w:hAnsi="宋体"/>
          <w:color w:val="auto"/>
          <w:sz w:val="24"/>
          <w:szCs w:val="24"/>
          <w:highlight w:val="none"/>
        </w:rPr>
        <w:t>采购代理机构</w:t>
      </w:r>
      <w:r>
        <w:rPr>
          <w:rFonts w:hAnsi="宋体"/>
          <w:color w:val="auto"/>
          <w:sz w:val="24"/>
          <w:szCs w:val="24"/>
          <w:highlight w:val="none"/>
        </w:rPr>
        <w:t>联系解决</w:t>
      </w:r>
      <w:r>
        <w:rPr>
          <w:rFonts w:hint="eastAsia" w:hAnsi="宋体"/>
          <w:color w:val="auto"/>
          <w:sz w:val="24"/>
          <w:szCs w:val="24"/>
          <w:highlight w:val="none"/>
        </w:rPr>
        <w:t>，</w:t>
      </w:r>
      <w:r>
        <w:rPr>
          <w:rFonts w:hint="eastAsia" w:ascii="宋体" w:hAnsi="宋体"/>
          <w:color w:val="auto"/>
          <w:sz w:val="24"/>
          <w:szCs w:val="24"/>
          <w:highlight w:val="none"/>
        </w:rPr>
        <w:t>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60327E1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8.2</w:t>
      </w:r>
      <w:r>
        <w:rPr>
          <w:rFonts w:hint="eastAsia" w:ascii="宋体" w:hAnsi="宋体" w:cs="宋体"/>
          <w:color w:val="auto"/>
          <w:sz w:val="24"/>
          <w:szCs w:val="24"/>
          <w:highlight w:val="none"/>
          <w:lang w:bidi="ar"/>
        </w:rPr>
        <w:t>招标文件及其更正文件不是直接从</w:t>
      </w:r>
      <w:r>
        <w:rPr>
          <w:rFonts w:hint="eastAsia" w:ascii="宋体" w:hAnsi="宋体"/>
          <w:color w:val="auto"/>
          <w:sz w:val="24"/>
          <w:szCs w:val="24"/>
          <w:highlight w:val="none"/>
        </w:rPr>
        <w:t>采购代理机构</w:t>
      </w:r>
      <w:r>
        <w:rPr>
          <w:rFonts w:hint="eastAsia" w:ascii="宋体" w:hAnsi="宋体" w:cs="宋体"/>
          <w:color w:val="auto"/>
          <w:sz w:val="24"/>
          <w:szCs w:val="24"/>
          <w:highlight w:val="none"/>
          <w:lang w:bidi="ar"/>
        </w:rPr>
        <w:t>或指定媒体获得的，</w:t>
      </w:r>
      <w:r>
        <w:rPr>
          <w:rFonts w:hint="eastAsia" w:ascii="宋体" w:hAnsi="宋体"/>
          <w:color w:val="auto"/>
          <w:sz w:val="24"/>
          <w:szCs w:val="24"/>
          <w:highlight w:val="none"/>
        </w:rPr>
        <w:t>采购代理机构</w:t>
      </w:r>
      <w:r>
        <w:rPr>
          <w:rFonts w:hint="eastAsia" w:ascii="宋体" w:hAnsi="宋体" w:cs="宋体"/>
          <w:color w:val="auto"/>
          <w:sz w:val="24"/>
          <w:szCs w:val="24"/>
          <w:highlight w:val="none"/>
          <w:lang w:bidi="ar"/>
        </w:rPr>
        <w:t>对招标文件及其补遗的真实性、完整性不承担任何责任。</w:t>
      </w:r>
    </w:p>
    <w:p w14:paraId="062B573E">
      <w:pPr>
        <w:spacing w:line="440" w:lineRule="exact"/>
        <w:rPr>
          <w:rFonts w:ascii="宋体" w:hAnsi="宋体"/>
          <w:b/>
          <w:color w:val="auto"/>
          <w:sz w:val="24"/>
          <w:szCs w:val="24"/>
          <w:highlight w:val="none"/>
        </w:rPr>
      </w:pPr>
      <w:r>
        <w:rPr>
          <w:rFonts w:hint="eastAsia" w:ascii="宋体" w:hAnsi="宋体"/>
          <w:b/>
          <w:color w:val="auto"/>
          <w:sz w:val="24"/>
          <w:szCs w:val="24"/>
          <w:highlight w:val="none"/>
        </w:rPr>
        <w:t>9. 招标文件的澄清</w:t>
      </w:r>
    </w:p>
    <w:p w14:paraId="76D5B38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9.1</w:t>
      </w:r>
      <w:r>
        <w:rPr>
          <w:rFonts w:hint="eastAsia" w:ascii="宋体" w:hAnsi="宋体" w:cs="宋体"/>
          <w:color w:val="auto"/>
          <w:sz w:val="24"/>
          <w:szCs w:val="24"/>
          <w:highlight w:val="none"/>
        </w:rPr>
        <w:t>投标人在获取招标文件后，若有疑问，应于网上投标截止时间之前，在网上报名系统上向采购代理机构提出，采购代理机构将在系统上予以解答。</w:t>
      </w:r>
    </w:p>
    <w:p w14:paraId="5F015BB5">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9.2</w:t>
      </w:r>
      <w:r>
        <w:rPr>
          <w:rFonts w:hint="eastAsia" w:ascii="宋体" w:hAnsi="宋体" w:cs="宋体"/>
          <w:color w:val="auto"/>
          <w:sz w:val="24"/>
          <w:szCs w:val="24"/>
          <w:highlight w:val="none"/>
        </w:rPr>
        <w:t>如有必要，问题答复将以“变更公告”形式由采购代理机构按照本须知第10条的规定发出。</w:t>
      </w:r>
    </w:p>
    <w:p w14:paraId="7067A17B">
      <w:pPr>
        <w:spacing w:line="440" w:lineRule="exact"/>
        <w:rPr>
          <w:rFonts w:ascii="宋体" w:hAnsi="宋体"/>
          <w:color w:val="auto"/>
          <w:sz w:val="24"/>
          <w:szCs w:val="24"/>
          <w:highlight w:val="none"/>
        </w:rPr>
      </w:pPr>
      <w:r>
        <w:rPr>
          <w:rFonts w:hint="eastAsia" w:ascii="宋体" w:hAnsi="宋体"/>
          <w:b/>
          <w:color w:val="auto"/>
          <w:sz w:val="24"/>
          <w:szCs w:val="24"/>
          <w:highlight w:val="none"/>
        </w:rPr>
        <w:t>10.招标文件的修改</w:t>
      </w:r>
    </w:p>
    <w:p w14:paraId="74F9C09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10.1采购代理机构无论出于自己的考虑，还是出于对投标人提问的澄清，均可对已发出的招标文件用</w:t>
      </w:r>
      <w:r>
        <w:rPr>
          <w:rFonts w:hAnsi="宋体"/>
          <w:color w:val="auto"/>
          <w:sz w:val="24"/>
          <w:szCs w:val="24"/>
          <w:highlight w:val="none"/>
          <w:lang w:val="zh-CN"/>
        </w:rPr>
        <w:t>补充文件的方式</w:t>
      </w:r>
      <w:r>
        <w:rPr>
          <w:rFonts w:hint="eastAsia" w:ascii="宋体" w:hAnsi="宋体"/>
          <w:color w:val="auto"/>
          <w:sz w:val="24"/>
          <w:szCs w:val="24"/>
          <w:highlight w:val="none"/>
        </w:rPr>
        <w:t>进行必要澄清或者修改。</w:t>
      </w:r>
    </w:p>
    <w:p w14:paraId="7CA0A8FC">
      <w:pPr>
        <w:spacing w:line="44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64FBD60B">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10.3招标文件的更正（含澄清、修改等）内容与原招标文件在同一内容上表述不一致时，以发出日期最接近开标时间的公告为准。</w:t>
      </w:r>
    </w:p>
    <w:p w14:paraId="460A9F83">
      <w:pPr>
        <w:spacing w:line="440" w:lineRule="exact"/>
        <w:ind w:firstLine="360" w:firstLineChars="150"/>
        <w:rPr>
          <w:rFonts w:hint="eastAsia" w:ascii="宋体" w:hAnsi="宋体" w:cs="宋体"/>
          <w:color w:val="auto"/>
          <w:sz w:val="24"/>
          <w:szCs w:val="24"/>
          <w:highlight w:val="none"/>
          <w:lang w:bidi="ar"/>
        </w:rPr>
      </w:pPr>
      <w:r>
        <w:rPr>
          <w:rFonts w:hint="eastAsia" w:ascii="宋体" w:hAnsi="宋体"/>
          <w:color w:val="auto"/>
          <w:sz w:val="24"/>
          <w:szCs w:val="24"/>
          <w:highlight w:val="none"/>
        </w:rPr>
        <w:t>10.4</w:t>
      </w:r>
      <w:r>
        <w:rPr>
          <w:rFonts w:hint="eastAsia" w:ascii="宋体" w:hAnsi="宋体" w:cs="宋体"/>
          <w:color w:val="auto"/>
          <w:sz w:val="24"/>
          <w:szCs w:val="24"/>
          <w:highlight w:val="none"/>
          <w:lang w:bidi="ar"/>
        </w:rPr>
        <w:t>招标文件的更正（含澄清、修改等）内容将在财政部门指定的政府采购信息发布媒体上发布，请投标人及时查询，更正（含澄清、修改等）内容作为招标文件的组成部分，对投标人起约束作用。</w:t>
      </w:r>
    </w:p>
    <w:p w14:paraId="65A9296A">
      <w:pPr>
        <w:spacing w:line="440" w:lineRule="exact"/>
        <w:ind w:firstLine="361" w:firstLineChars="150"/>
        <w:rPr>
          <w:color w:val="auto"/>
          <w:highlight w:val="none"/>
        </w:rPr>
      </w:pPr>
      <w:r>
        <w:rPr>
          <w:rFonts w:hint="eastAsia" w:hAnsi="宋体"/>
          <w:b/>
          <w:color w:val="auto"/>
          <w:sz w:val="24"/>
          <w:szCs w:val="24"/>
          <w:highlight w:val="none"/>
        </w:rPr>
        <w:t>10.5招标文件若有</w:t>
      </w:r>
      <w:r>
        <w:rPr>
          <w:rFonts w:hint="eastAsia" w:hAnsi="宋体" w:cs="宋体"/>
          <w:b/>
          <w:color w:val="auto"/>
          <w:sz w:val="24"/>
          <w:szCs w:val="24"/>
          <w:highlight w:val="none"/>
        </w:rPr>
        <w:t>最新的答疑文件，投标供应商必须下载并使用该文件制作新的电子投标文件，否则将无法完成电子投标文件的上传及投标。</w:t>
      </w:r>
    </w:p>
    <w:p w14:paraId="0C05544A">
      <w:pPr>
        <w:spacing w:line="440" w:lineRule="exact"/>
        <w:rPr>
          <w:rFonts w:ascii="宋体" w:hAnsi="宋体"/>
          <w:b/>
          <w:color w:val="auto"/>
          <w:sz w:val="24"/>
          <w:szCs w:val="24"/>
          <w:highlight w:val="none"/>
        </w:rPr>
      </w:pPr>
      <w:r>
        <w:rPr>
          <w:rFonts w:hint="eastAsia" w:ascii="宋体" w:hAnsi="宋体"/>
          <w:b/>
          <w:color w:val="auto"/>
          <w:sz w:val="24"/>
          <w:szCs w:val="24"/>
          <w:highlight w:val="none"/>
        </w:rPr>
        <w:t>11.质疑</w:t>
      </w:r>
    </w:p>
    <w:p w14:paraId="241D08B3">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11.1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p>
    <w:p w14:paraId="39F08AA0">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11.2提出质疑的供应商应当是参与所质疑项目采购活动的供应商，未参加投标活动的供应商或在投标活动中自身权益未受到损害的供应商所提出的质疑不予受理。</w:t>
      </w:r>
    </w:p>
    <w:p w14:paraId="7BD8DB1E">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11.3上述应知其权益受到损害之日是指：</w:t>
      </w:r>
    </w:p>
    <w:p w14:paraId="450EFF51">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11.3.1对采购文件提出质疑的，为获取采购文件或者采购文件公告期限届满之日起计算；</w:t>
      </w:r>
    </w:p>
    <w:p w14:paraId="1DCF5344">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11.3.2对采购过程提出质疑的，自采购程序环节结束之日起计算；</w:t>
      </w:r>
    </w:p>
    <w:p w14:paraId="3F67348B">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11.3.3对中标结果提出质疑的，自中标结果公告期限届满之日起计算。</w:t>
      </w:r>
    </w:p>
    <w:p w14:paraId="023ABC38">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11.4 供应商提出质疑应当提交质疑函和必要的证明材料。质疑函应当包括下列内容：</w:t>
      </w:r>
    </w:p>
    <w:p w14:paraId="32362B6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11.4.1 </w:t>
      </w:r>
      <w:r>
        <w:rPr>
          <w:rFonts w:ascii="宋体" w:hAnsi="宋体"/>
          <w:color w:val="auto"/>
          <w:sz w:val="24"/>
          <w:szCs w:val="24"/>
          <w:highlight w:val="none"/>
        </w:rPr>
        <w:t>供应商的姓名或者名称、地址、邮编、联系人及联系电话；</w:t>
      </w:r>
    </w:p>
    <w:p w14:paraId="3BADE13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11.4.2 </w:t>
      </w:r>
      <w:r>
        <w:rPr>
          <w:rFonts w:ascii="宋体" w:hAnsi="宋体"/>
          <w:color w:val="auto"/>
          <w:sz w:val="24"/>
          <w:szCs w:val="24"/>
          <w:highlight w:val="none"/>
        </w:rPr>
        <w:t>质疑项目的名称、编号；</w:t>
      </w:r>
    </w:p>
    <w:p w14:paraId="058F12C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11.4.3 </w:t>
      </w:r>
      <w:r>
        <w:rPr>
          <w:rFonts w:ascii="宋体" w:hAnsi="宋体"/>
          <w:color w:val="auto"/>
          <w:sz w:val="24"/>
          <w:szCs w:val="24"/>
          <w:highlight w:val="none"/>
        </w:rPr>
        <w:t>具体、明确的质疑事项和与质疑事项相关的请求；</w:t>
      </w:r>
    </w:p>
    <w:p w14:paraId="4655F98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11.4.4 </w:t>
      </w:r>
      <w:r>
        <w:rPr>
          <w:rFonts w:ascii="宋体" w:hAnsi="宋体"/>
          <w:color w:val="auto"/>
          <w:sz w:val="24"/>
          <w:szCs w:val="24"/>
          <w:highlight w:val="none"/>
        </w:rPr>
        <w:t>事实依据；</w:t>
      </w:r>
    </w:p>
    <w:p w14:paraId="79732B87">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11.4.5 </w:t>
      </w:r>
      <w:r>
        <w:rPr>
          <w:rFonts w:ascii="宋体" w:hAnsi="宋体"/>
          <w:color w:val="auto"/>
          <w:sz w:val="24"/>
          <w:szCs w:val="24"/>
          <w:highlight w:val="none"/>
        </w:rPr>
        <w:t>必要的法律依据；</w:t>
      </w:r>
    </w:p>
    <w:p w14:paraId="6DDB554F">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11.4.6 </w:t>
      </w:r>
      <w:r>
        <w:rPr>
          <w:rFonts w:ascii="宋体" w:hAnsi="宋体"/>
          <w:color w:val="auto"/>
          <w:sz w:val="24"/>
          <w:szCs w:val="24"/>
          <w:highlight w:val="none"/>
        </w:rPr>
        <w:t>提出质疑的日期。</w:t>
      </w:r>
    </w:p>
    <w:p w14:paraId="3D4A22B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11.5质疑函的格式和内容应当符合财政部《政府采购供应商质疑函范本》 </w:t>
      </w:r>
      <w:bookmarkStart w:id="4" w:name="baidusnap5"/>
      <w:bookmarkEnd w:id="4"/>
      <w:r>
        <w:rPr>
          <w:rFonts w:hint="eastAsia" w:ascii="宋体" w:hAnsi="宋体"/>
          <w:color w:val="auto"/>
          <w:sz w:val="24"/>
          <w:szCs w:val="24"/>
          <w:highlight w:val="none"/>
        </w:rPr>
        <w:t>要求，质疑函范本在</w:t>
      </w:r>
      <w:r>
        <w:rPr>
          <w:rFonts w:ascii="宋体" w:hAnsi="宋体"/>
          <w:color w:val="auto"/>
          <w:sz w:val="24"/>
          <w:szCs w:val="24"/>
          <w:highlight w:val="none"/>
        </w:rPr>
        <w:t>财政</w:t>
      </w:r>
      <w:r>
        <w:rPr>
          <w:rFonts w:hint="eastAsia" w:ascii="宋体" w:hAnsi="宋体"/>
          <w:color w:val="auto"/>
          <w:sz w:val="24"/>
          <w:szCs w:val="24"/>
          <w:highlight w:val="none"/>
        </w:rPr>
        <w:t>部官网上提供下载。</w:t>
      </w:r>
    </w:p>
    <w:p w14:paraId="59AFF822">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11.6提交质疑函同时应当附如下证明材料：</w:t>
      </w:r>
    </w:p>
    <w:p w14:paraId="106ACE4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11.6.1对采购文件提出质疑的供应商提供参加本项目的报名确认单；</w:t>
      </w:r>
    </w:p>
    <w:p w14:paraId="1AAE1305">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11.6.2质疑供应商的营业执照复印件加盖单位公章；</w:t>
      </w:r>
    </w:p>
    <w:p w14:paraId="4D4E35EE">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11.6.3质疑供应商法定代表人身份证复印件加盖单位公章；</w:t>
      </w:r>
    </w:p>
    <w:p w14:paraId="4627A2B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61E4134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11.7</w:t>
      </w:r>
      <w:r>
        <w:rPr>
          <w:rFonts w:ascii="宋体" w:hAnsi="宋体"/>
          <w:color w:val="auto"/>
          <w:sz w:val="24"/>
          <w:szCs w:val="24"/>
          <w:highlight w:val="none"/>
        </w:rPr>
        <w:t xml:space="preserve">供应商为自然人的，应当由本人签字；供应商为法人或者其他组织的，应当由法定代表人、主要负责人，或者其授权代表签字或者盖章，并加盖公章。 </w:t>
      </w:r>
    </w:p>
    <w:p w14:paraId="2879BD6B">
      <w:pPr>
        <w:spacing w:line="44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11.8供应商对招标项目技术、商务及其他要求，以及评审细则、标准提出询问或质疑的，应向采购人提出；供应商对采购过程及中标结果提出询问或质疑的，应向采购机代理构提出；</w:t>
      </w:r>
    </w:p>
    <w:p w14:paraId="2FC38210">
      <w:pPr>
        <w:spacing w:line="440" w:lineRule="exact"/>
        <w:ind w:firstLine="360" w:firstLineChars="15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11.9供应商如对本项目提出质疑须在法定质疑期内一次性提出针对同一采购程序环节的质疑，否则不予受理重复质疑。</w:t>
      </w:r>
    </w:p>
    <w:p w14:paraId="38B265A1">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11.1</w:t>
      </w:r>
      <w:r>
        <w:rPr>
          <w:rFonts w:hint="eastAsia" w:ascii="宋体" w:hAnsi="宋体" w:eastAsia="宋体" w:cs="宋体"/>
          <w:color w:val="auto"/>
          <w:kern w:val="0"/>
          <w:sz w:val="24"/>
          <w:szCs w:val="22"/>
          <w:highlight w:val="none"/>
          <w:lang w:eastAsia="zh-CN"/>
        </w:rPr>
        <w:t>0</w:t>
      </w:r>
      <w:r>
        <w:rPr>
          <w:rFonts w:hint="default" w:ascii="宋体" w:hAnsi="宋体" w:eastAsia="宋体" w:cs="宋体"/>
          <w:color w:val="auto"/>
          <w:kern w:val="0"/>
          <w:sz w:val="24"/>
          <w:szCs w:val="22"/>
          <w:highlight w:val="none"/>
          <w:lang w:eastAsia="zh-CN"/>
        </w:rPr>
        <w:t xml:space="preserve"> </w:t>
      </w:r>
      <w:r>
        <w:rPr>
          <w:rFonts w:hint="eastAsia" w:ascii="宋体" w:hAnsi="宋体" w:eastAsia="宋体" w:cs="宋体"/>
          <w:color w:val="auto"/>
          <w:kern w:val="0"/>
          <w:sz w:val="24"/>
          <w:szCs w:val="22"/>
          <w:highlight w:val="none"/>
          <w:lang w:eastAsia="zh-CN"/>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color w:val="auto"/>
          <w:kern w:val="0"/>
          <w:sz w:val="24"/>
          <w:szCs w:val="22"/>
          <w:highlight w:val="none"/>
          <w:lang w:eastAsia="zh-CN"/>
        </w:rPr>
        <w:t>（即《投标供应商确认函》）</w:t>
      </w:r>
      <w:r>
        <w:rPr>
          <w:rFonts w:hint="eastAsia" w:ascii="宋体" w:hAnsi="宋体" w:eastAsia="宋体" w:cs="宋体"/>
          <w:color w:val="auto"/>
          <w:kern w:val="0"/>
          <w:sz w:val="24"/>
          <w:szCs w:val="22"/>
          <w:highlight w:val="none"/>
          <w:lang w:eastAsia="zh-CN"/>
        </w:rPr>
        <w:t>与质疑函一起递交，否则不予受理。</w:t>
      </w:r>
    </w:p>
    <w:p w14:paraId="3165F6B7">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11.1</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接受质疑函联系方式见采购公告联系事项。</w:t>
      </w:r>
    </w:p>
    <w:p w14:paraId="484FA92E">
      <w:pPr>
        <w:spacing w:line="440" w:lineRule="exact"/>
        <w:rPr>
          <w:rFonts w:ascii="宋体" w:hAnsi="宋体"/>
          <w:b/>
          <w:color w:val="auto"/>
          <w:sz w:val="24"/>
          <w:szCs w:val="24"/>
          <w:highlight w:val="none"/>
        </w:rPr>
      </w:pPr>
      <w:r>
        <w:rPr>
          <w:rFonts w:hint="eastAsia" w:ascii="宋体" w:hAnsi="宋体"/>
          <w:b/>
          <w:color w:val="auto"/>
          <w:sz w:val="24"/>
          <w:szCs w:val="24"/>
          <w:highlight w:val="none"/>
        </w:rPr>
        <w:t>四、 投标文件说明</w:t>
      </w:r>
    </w:p>
    <w:p w14:paraId="62F7D453">
      <w:pPr>
        <w:spacing w:line="440" w:lineRule="exact"/>
        <w:rPr>
          <w:rFonts w:ascii="宋体" w:hAnsi="宋体"/>
          <w:b/>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2</w:t>
      </w:r>
      <w:r>
        <w:rPr>
          <w:rFonts w:ascii="宋体" w:hAnsi="宋体"/>
          <w:b/>
          <w:color w:val="auto"/>
          <w:sz w:val="24"/>
          <w:szCs w:val="24"/>
          <w:highlight w:val="none"/>
        </w:rPr>
        <w:t>、提示与要求</w:t>
      </w:r>
    </w:p>
    <w:p w14:paraId="2A9E2B5C">
      <w:pPr>
        <w:spacing w:line="440" w:lineRule="exact"/>
        <w:ind w:firstLine="360" w:firstLineChars="15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s="宋体"/>
          <w:color w:val="auto"/>
          <w:sz w:val="24"/>
          <w:szCs w:val="24"/>
          <w:highlight w:val="none"/>
          <w:lang w:bidi="ar"/>
        </w:rPr>
        <w:t>投标人应仔细阅读招标文件的所有内容，按招标文件的要求提供投标文件，并保证所提供的全部资料的真实性，以使其投标对招标文件做出实质性响应，否则，其投标可能被拒绝。</w:t>
      </w:r>
    </w:p>
    <w:p w14:paraId="28A2149C">
      <w:pPr>
        <w:spacing w:line="440" w:lineRule="exact"/>
        <w:ind w:firstLine="360" w:firstLineChars="15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无论是否递交投标文件，投标人都应将招标文件及以后的所有通知、文件等视为保密文件。</w:t>
      </w:r>
    </w:p>
    <w:p w14:paraId="65C6AF47">
      <w:pPr>
        <w:spacing w:line="440" w:lineRule="exact"/>
        <w:rPr>
          <w:rFonts w:ascii="宋体" w:hAnsi="宋体"/>
          <w:b/>
          <w:color w:val="auto"/>
          <w:sz w:val="24"/>
          <w:szCs w:val="24"/>
          <w:highlight w:val="none"/>
        </w:rPr>
      </w:pPr>
      <w:r>
        <w:rPr>
          <w:rFonts w:hint="eastAsia" w:ascii="宋体" w:hAnsi="宋体"/>
          <w:b/>
          <w:color w:val="auto"/>
          <w:sz w:val="24"/>
          <w:szCs w:val="24"/>
          <w:highlight w:val="none"/>
        </w:rPr>
        <w:t>13. 投标文件计量单位和使用文字</w:t>
      </w:r>
    </w:p>
    <w:p w14:paraId="1A059C4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13.1投标文件中所使用的计量单位，除招标文件中有特殊要求外，均应使用中华人民共和国法定计量单位。</w:t>
      </w:r>
    </w:p>
    <w:p w14:paraId="08FC35FE">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21DE4E65">
      <w:pPr>
        <w:spacing w:line="440" w:lineRule="exact"/>
        <w:rPr>
          <w:rFonts w:ascii="宋体" w:hAnsi="宋体"/>
          <w:b/>
          <w:color w:val="auto"/>
          <w:sz w:val="24"/>
          <w:szCs w:val="24"/>
          <w:highlight w:val="none"/>
        </w:rPr>
      </w:pPr>
      <w:r>
        <w:rPr>
          <w:rFonts w:hint="eastAsia" w:ascii="宋体" w:hAnsi="宋体"/>
          <w:b/>
          <w:color w:val="auto"/>
          <w:sz w:val="24"/>
          <w:szCs w:val="24"/>
          <w:highlight w:val="none"/>
        </w:rPr>
        <w:t>14. 知识产权</w:t>
      </w:r>
    </w:p>
    <w:p w14:paraId="2FE4AFD4">
      <w:pPr>
        <w:spacing w:line="440" w:lineRule="exact"/>
        <w:ind w:firstLine="360" w:firstLineChars="150"/>
        <w:rPr>
          <w:rFonts w:hint="eastAsia" w:ascii="宋体" w:hAnsi="宋体"/>
          <w:b/>
          <w:color w:val="auto"/>
          <w:sz w:val="24"/>
          <w:szCs w:val="24"/>
          <w:highlight w:val="none"/>
        </w:rPr>
      </w:pPr>
      <w:r>
        <w:rPr>
          <w:rFonts w:hint="eastAsia" w:ascii="宋体" w:hAnsi="宋体"/>
          <w:color w:val="auto"/>
          <w:sz w:val="24"/>
          <w:szCs w:val="24"/>
          <w:highlight w:val="none"/>
        </w:rPr>
        <w:t>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601649F1">
      <w:pPr>
        <w:spacing w:line="440" w:lineRule="exact"/>
        <w:rPr>
          <w:rFonts w:ascii="宋体" w:hAnsi="宋体"/>
          <w:b/>
          <w:color w:val="auto"/>
          <w:sz w:val="24"/>
          <w:szCs w:val="24"/>
          <w:highlight w:val="none"/>
        </w:rPr>
      </w:pPr>
      <w:r>
        <w:rPr>
          <w:rFonts w:hint="eastAsia" w:ascii="宋体" w:hAnsi="宋体"/>
          <w:b/>
          <w:color w:val="auto"/>
          <w:sz w:val="24"/>
          <w:szCs w:val="24"/>
          <w:highlight w:val="none"/>
        </w:rPr>
        <w:t>15. 投标文件的组成和顺序</w:t>
      </w:r>
    </w:p>
    <w:p w14:paraId="08523F99">
      <w:pPr>
        <w:spacing w:line="440" w:lineRule="exact"/>
        <w:ind w:firstLine="120" w:firstLineChars="50"/>
        <w:rPr>
          <w:rFonts w:hint="default" w:ascii="宋体" w:hAnsi="宋体" w:eastAsia="宋体" w:cs="宋体"/>
          <w:color w:val="auto"/>
          <w:kern w:val="0"/>
          <w:sz w:val="24"/>
          <w:szCs w:val="22"/>
          <w:highlight w:val="none"/>
          <w:lang w:eastAsia="zh-CN"/>
        </w:rPr>
      </w:pPr>
      <w:r>
        <w:rPr>
          <w:rFonts w:hint="eastAsia" w:ascii="宋体" w:hAnsi="宋体"/>
          <w:b/>
          <w:color w:val="auto"/>
          <w:sz w:val="24"/>
          <w:szCs w:val="24"/>
          <w:highlight w:val="none"/>
        </w:rPr>
        <w:t>15.1报价部分（详见投标文件格式）：</w:t>
      </w:r>
    </w:p>
    <w:p w14:paraId="44B07E52">
      <w:pPr>
        <w:widowControl/>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15.1.1封面</w:t>
      </w:r>
    </w:p>
    <w:p w14:paraId="31F3C9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15.1.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《开标一览表》(统一格式，用于唱标)；</w:t>
      </w:r>
    </w:p>
    <w:p w14:paraId="39E0AAF9">
      <w:pPr>
        <w:spacing w:line="440" w:lineRule="exact"/>
        <w:ind w:firstLine="361" w:firstLineChars="150"/>
        <w:rPr>
          <w:rFonts w:ascii="宋体" w:hAnsi="宋体"/>
          <w:b/>
          <w:color w:val="auto"/>
          <w:sz w:val="24"/>
          <w:szCs w:val="24"/>
          <w:highlight w:val="none"/>
        </w:rPr>
      </w:pPr>
      <w:r>
        <w:rPr>
          <w:rFonts w:hint="eastAsia" w:ascii="宋体" w:hAnsi="宋体"/>
          <w:b/>
          <w:color w:val="auto"/>
          <w:sz w:val="24"/>
          <w:szCs w:val="24"/>
          <w:highlight w:val="none"/>
        </w:rPr>
        <w:t>15.2 投标正文部分（包含资质证明和技术部分）</w:t>
      </w:r>
    </w:p>
    <w:p w14:paraId="79E518B0">
      <w:pPr>
        <w:spacing w:line="440" w:lineRule="exact"/>
        <w:ind w:firstLine="361" w:firstLineChars="150"/>
        <w:rPr>
          <w:rFonts w:ascii="宋体" w:hAnsi="宋体"/>
          <w:b/>
          <w:color w:val="auto"/>
          <w:sz w:val="24"/>
          <w:szCs w:val="24"/>
          <w:highlight w:val="none"/>
        </w:rPr>
      </w:pPr>
      <w:r>
        <w:rPr>
          <w:rFonts w:hint="eastAsia" w:ascii="宋体" w:hAnsi="宋体"/>
          <w:b/>
          <w:color w:val="auto"/>
          <w:sz w:val="24"/>
          <w:szCs w:val="24"/>
          <w:highlight w:val="none"/>
        </w:rPr>
        <w:t>15.2.1资质证明文件部分</w:t>
      </w:r>
    </w:p>
    <w:p w14:paraId="641D315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15.2.1.1关于资格文件的声明函（详见投标文件格式）；</w:t>
      </w:r>
    </w:p>
    <w:p w14:paraId="58C9C74A">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15.2.1.2投标承诺函（详见投标文件格式）；</w:t>
      </w:r>
    </w:p>
    <w:p w14:paraId="3D0EC3D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15.2.1.3</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营业执照副本或三证合一营业执照复印件；</w:t>
      </w:r>
    </w:p>
    <w:p w14:paraId="3597D1C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15.2.1.4投标人参加本次政府采购活动前的财务状况报告或者银行出具的资信证明、投标担保函；</w:t>
      </w:r>
    </w:p>
    <w:p w14:paraId="3D8DEE5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15.2.1.5投标人根据项目需求提供履行合同所必需的设备和专业技术能力的证明材料；</w:t>
      </w:r>
    </w:p>
    <w:p w14:paraId="17969FF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15.2.1.6投标人参加本次政府采购活动前半年（至少一个月）依法缴纳税收和社会保障资金的证明材料；</w:t>
      </w:r>
    </w:p>
    <w:p w14:paraId="54075AA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15.2.1.7投标人参加政府采购活动前三年在经营活动中没有重大违法记录的书面申明（详见投标文件格式）；</w:t>
      </w:r>
    </w:p>
    <w:p w14:paraId="23D6C5D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15.2.1.8投标人证明其符合招标文件规定的投标人特定资格条件的证书、证明和文件材料（若有）；</w:t>
      </w:r>
    </w:p>
    <w:p w14:paraId="2498529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15.2.1.9投标人基本情况表（详见投标文件格式）；</w:t>
      </w:r>
    </w:p>
    <w:p w14:paraId="61AB4A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15.2.1.10投标人法定代表人身份证复印件；</w:t>
      </w:r>
    </w:p>
    <w:p w14:paraId="0603B2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15.2.1.11投标人法定代表人授权委托书原件（如有授权）（详见投标文件格式）；</w:t>
      </w:r>
    </w:p>
    <w:p w14:paraId="19FA23E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15.2.1.12投标人授权代理人身份证复印件（如有授权）；</w:t>
      </w:r>
    </w:p>
    <w:p w14:paraId="77F399A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lang w:bidi="ar"/>
        </w:rPr>
      </w:pPr>
      <w:r>
        <w:rPr>
          <w:rFonts w:hint="eastAsia" w:ascii="宋体" w:hAnsi="宋体"/>
          <w:color w:val="auto"/>
          <w:sz w:val="24"/>
          <w:szCs w:val="24"/>
          <w:highlight w:val="none"/>
        </w:rPr>
        <w:t>15.2.1.13</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lang w:val="en-US" w:eastAsia="zh-CN" w:bidi="ar"/>
        </w:rPr>
        <w:t>中</w:t>
      </w:r>
      <w:r>
        <w:rPr>
          <w:rFonts w:hint="eastAsia" w:ascii="宋体" w:hAnsi="宋体" w:cs="宋体"/>
          <w:color w:val="auto"/>
          <w:sz w:val="24"/>
          <w:szCs w:val="24"/>
          <w:highlight w:val="none"/>
          <w:lang w:bidi="ar"/>
        </w:rPr>
        <w:t>小企业</w:t>
      </w:r>
      <w:r>
        <w:rPr>
          <w:rFonts w:hint="eastAsia" w:ascii="宋体" w:hAnsi="宋体" w:cs="宋体"/>
          <w:color w:val="auto"/>
          <w:sz w:val="24"/>
          <w:szCs w:val="24"/>
          <w:highlight w:val="none"/>
          <w:lang w:val="en-US" w:eastAsia="zh-CN" w:bidi="ar"/>
        </w:rPr>
        <w:t>声明函</w:t>
      </w:r>
      <w:r>
        <w:rPr>
          <w:rFonts w:hint="eastAsia" w:ascii="宋体" w:hAnsi="宋体"/>
          <w:color w:val="auto"/>
          <w:sz w:val="24"/>
          <w:szCs w:val="24"/>
          <w:highlight w:val="none"/>
        </w:rPr>
        <w:t>、残疾人福利性单位声明函；</w:t>
      </w:r>
    </w:p>
    <w:p w14:paraId="6EA165C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其他可以证明投标人资信、资质和货物、服务质量的证书、文件等资料；</w:t>
      </w:r>
    </w:p>
    <w:p w14:paraId="2817CDF1">
      <w:pPr>
        <w:spacing w:line="440" w:lineRule="exact"/>
        <w:ind w:firstLine="361" w:firstLineChars="150"/>
        <w:rPr>
          <w:rFonts w:ascii="宋体" w:hAnsi="宋体"/>
          <w:b/>
          <w:color w:val="auto"/>
          <w:sz w:val="24"/>
          <w:szCs w:val="24"/>
          <w:highlight w:val="none"/>
        </w:rPr>
      </w:pPr>
      <w:r>
        <w:rPr>
          <w:rFonts w:hint="eastAsia" w:ascii="宋体" w:hAnsi="宋体"/>
          <w:b/>
          <w:color w:val="auto"/>
          <w:sz w:val="24"/>
          <w:szCs w:val="24"/>
          <w:highlight w:val="none"/>
        </w:rPr>
        <w:t>15.2.2技术部分</w:t>
      </w:r>
    </w:p>
    <w:p w14:paraId="275A68C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15.2.2.</w:t>
      </w:r>
      <w:r>
        <w:rPr>
          <w:rFonts w:ascii="宋体" w:hAnsi="宋体"/>
          <w:color w:val="auto"/>
          <w:sz w:val="24"/>
          <w:szCs w:val="24"/>
          <w:highlight w:val="none"/>
        </w:rPr>
        <w:t>1</w:t>
      </w:r>
      <w:r>
        <w:rPr>
          <w:rFonts w:hint="eastAsia" w:ascii="宋体" w:hAnsi="宋体"/>
          <w:color w:val="auto"/>
          <w:sz w:val="24"/>
          <w:szCs w:val="24"/>
          <w:highlight w:val="none"/>
        </w:rPr>
        <w:t>服务要求偏离表（统一格式）；</w:t>
      </w:r>
    </w:p>
    <w:p w14:paraId="686FD3F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15.2.2.2投标商务要求偏离表（统一格式）；</w:t>
      </w:r>
    </w:p>
    <w:p w14:paraId="53270374">
      <w:pPr>
        <w:spacing w:line="440" w:lineRule="exact"/>
        <w:ind w:firstLine="360" w:firstLineChars="150"/>
        <w:rPr>
          <w:rFonts w:hint="eastAsia" w:ascii="宋体" w:hAnsi="宋体"/>
          <w:color w:val="auto"/>
          <w:sz w:val="24"/>
          <w:szCs w:val="24"/>
          <w:highlight w:val="none"/>
        </w:rPr>
      </w:pPr>
      <w:r>
        <w:rPr>
          <w:rFonts w:hint="eastAsia" w:ascii="宋体" w:hAnsi="宋体" w:cs="宋体"/>
          <w:color w:val="auto"/>
          <w:sz w:val="24"/>
          <w:szCs w:val="24"/>
          <w:highlight w:val="none"/>
          <w:lang w:bidi="ar"/>
        </w:rPr>
        <w:t>15.2.2.3</w:t>
      </w:r>
      <w:r>
        <w:rPr>
          <w:rFonts w:hint="eastAsia" w:ascii="宋体" w:hAnsi="宋体"/>
          <w:color w:val="auto"/>
          <w:sz w:val="24"/>
          <w:szCs w:val="24"/>
          <w:highlight w:val="none"/>
        </w:rPr>
        <w:t>类似项目业绩一览表及相关证明材料；</w:t>
      </w:r>
    </w:p>
    <w:p w14:paraId="71A2E4D4">
      <w:pPr>
        <w:spacing w:line="440" w:lineRule="exact"/>
        <w:ind w:firstLine="360" w:firstLineChars="150"/>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15.2.2.</w:t>
      </w: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投入本项目技</w:t>
      </w:r>
      <w:r>
        <w:rPr>
          <w:rFonts w:hint="eastAsia" w:ascii="宋体" w:hAnsi="宋体"/>
          <w:color w:val="auto"/>
          <w:sz w:val="24"/>
          <w:szCs w:val="24"/>
          <w:highlight w:val="none"/>
        </w:rPr>
        <w:t>术（服务）人员一览表及相关证明材料；</w:t>
      </w:r>
    </w:p>
    <w:p w14:paraId="70B4B14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技术方案、服务方案（技术方案及服务方案的内容编排等由响应人自定）</w:t>
      </w:r>
    </w:p>
    <w:p w14:paraId="73288C04">
      <w:pPr>
        <w:spacing w:line="440" w:lineRule="exact"/>
        <w:ind w:firstLine="360" w:firstLineChars="150"/>
        <w:rPr>
          <w:rFonts w:hint="eastAsia" w:ascii="宋体" w:hAnsi="宋体" w:cs="宋体"/>
          <w:color w:val="auto"/>
          <w:sz w:val="24"/>
          <w:szCs w:val="24"/>
          <w:highlight w:val="none"/>
          <w:lang w:bidi="ar"/>
        </w:rPr>
      </w:pPr>
      <w:r>
        <w:rPr>
          <w:rFonts w:hint="eastAsia" w:ascii="宋体" w:hAnsi="宋体"/>
          <w:color w:val="auto"/>
          <w:sz w:val="24"/>
          <w:szCs w:val="24"/>
          <w:highlight w:val="none"/>
        </w:rPr>
        <w:t>15.2.2.</w:t>
      </w:r>
      <w:r>
        <w:rPr>
          <w:rFonts w:hint="eastAsia" w:ascii="宋体" w:hAnsi="宋体"/>
          <w:b w:val="0"/>
          <w:bCs w:val="0"/>
          <w:color w:val="auto"/>
          <w:sz w:val="24"/>
          <w:szCs w:val="24"/>
          <w:highlight w:val="none"/>
          <w:lang w:val="en-US" w:eastAsia="zh-CN"/>
        </w:rPr>
        <w:t>6</w:t>
      </w:r>
      <w:r>
        <w:rPr>
          <w:rFonts w:hint="eastAsia" w:ascii="宋体" w:hAnsi="宋体" w:cs="宋体"/>
          <w:b w:val="0"/>
          <w:bCs w:val="0"/>
          <w:color w:val="auto"/>
          <w:sz w:val="24"/>
          <w:szCs w:val="24"/>
          <w:highlight w:val="none"/>
          <w:lang w:bidi="ar"/>
        </w:rPr>
        <w:t>招标文件及评分标准中要求提供的其他相关材料；</w:t>
      </w:r>
    </w:p>
    <w:p w14:paraId="7306F345">
      <w:pPr>
        <w:spacing w:line="440" w:lineRule="exact"/>
        <w:ind w:firstLine="360" w:firstLineChars="150"/>
        <w:rPr>
          <w:rFonts w:ascii="宋体" w:hAnsi="宋体"/>
          <w:color w:val="auto"/>
          <w:sz w:val="24"/>
          <w:szCs w:val="24"/>
          <w:highlight w:val="none"/>
        </w:rPr>
      </w:pPr>
      <w:r>
        <w:rPr>
          <w:rFonts w:hint="eastAsia" w:ascii="宋体" w:hAnsi="宋体" w:cs="宋体"/>
          <w:color w:val="auto"/>
          <w:sz w:val="24"/>
          <w:szCs w:val="24"/>
          <w:highlight w:val="none"/>
          <w:lang w:bidi="ar"/>
        </w:rPr>
        <w:t>15.2.2.</w:t>
      </w:r>
      <w:r>
        <w:rPr>
          <w:rFonts w:hint="eastAsia" w:ascii="宋体" w:hAnsi="宋体" w:cs="宋体"/>
          <w:color w:val="auto"/>
          <w:sz w:val="24"/>
          <w:szCs w:val="24"/>
          <w:highlight w:val="none"/>
          <w:lang w:val="en-US" w:eastAsia="zh-CN" w:bidi="ar"/>
        </w:rPr>
        <w:t>7</w:t>
      </w:r>
      <w:r>
        <w:rPr>
          <w:rFonts w:hint="eastAsia" w:ascii="宋体" w:hAnsi="宋体"/>
          <w:color w:val="auto"/>
          <w:sz w:val="24"/>
          <w:szCs w:val="24"/>
          <w:highlight w:val="none"/>
        </w:rPr>
        <w:t>其他需投标人对本次投标的详细说明（投标人视各自的情况自行编制）；</w:t>
      </w:r>
    </w:p>
    <w:p w14:paraId="712B2FE5">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注：</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按上述要求提交相关资料，</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所提交的资格文件的完整与否，将直接影响</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的评分。</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必须保证全部投标资料的真实性，如有虚假或对招标文件所要求说明的情况故意隐瞒或虚报，视为不实质性响应招标文件，为无效投标，并报政府监管部门按政府采购法相关规定给予处罚。</w:t>
      </w:r>
    </w:p>
    <w:p w14:paraId="37B84334">
      <w:pPr>
        <w:spacing w:line="440" w:lineRule="exact"/>
        <w:rPr>
          <w:rFonts w:ascii="宋体" w:hAnsi="宋体"/>
          <w:color w:val="auto"/>
          <w:sz w:val="24"/>
          <w:szCs w:val="24"/>
          <w:highlight w:val="none"/>
        </w:rPr>
      </w:pPr>
      <w:bookmarkStart w:id="5" w:name="_Toc315875321"/>
      <w:bookmarkStart w:id="6" w:name="_Toc158691774"/>
      <w:bookmarkStart w:id="7" w:name="_Toc467507043"/>
      <w:bookmarkStart w:id="8" w:name="_Toc315868058"/>
      <w:bookmarkStart w:id="9" w:name="_Toc467507037"/>
      <w:r>
        <w:rPr>
          <w:rFonts w:hint="eastAsia" w:ascii="宋体" w:hAnsi="宋体"/>
          <w:b/>
          <w:color w:val="auto"/>
          <w:sz w:val="24"/>
          <w:szCs w:val="24"/>
          <w:highlight w:val="none"/>
        </w:rPr>
        <w:t>15.3投标文件由15.1、15.2款规定的内容共同组成。</w:t>
      </w:r>
    </w:p>
    <w:p w14:paraId="79E6DC31">
      <w:pPr>
        <w:spacing w:line="440" w:lineRule="exact"/>
        <w:rPr>
          <w:rFonts w:ascii="宋体" w:hAnsi="宋体"/>
          <w:color w:val="auto"/>
          <w:sz w:val="24"/>
          <w:szCs w:val="24"/>
          <w:highlight w:val="none"/>
        </w:rPr>
      </w:pPr>
      <w:r>
        <w:rPr>
          <w:rFonts w:hint="eastAsia" w:ascii="宋体" w:hAnsi="宋体"/>
          <w:b/>
          <w:color w:val="auto"/>
          <w:sz w:val="24"/>
          <w:szCs w:val="24"/>
          <w:highlight w:val="none"/>
        </w:rPr>
        <w:t>16. 投标文件编制要求</w:t>
      </w:r>
    </w:p>
    <w:p w14:paraId="66FB8177">
      <w:pPr>
        <w:spacing w:line="440" w:lineRule="exact"/>
        <w:ind w:firstLine="480" w:firstLineChars="200"/>
        <w:rPr>
          <w:rFonts w:hAnsi="宋体"/>
          <w:color w:val="auto"/>
          <w:sz w:val="24"/>
          <w:szCs w:val="24"/>
          <w:highlight w:val="none"/>
        </w:rPr>
      </w:pPr>
      <w:r>
        <w:rPr>
          <w:rFonts w:hint="eastAsia" w:ascii="宋体" w:hAnsi="宋体"/>
          <w:color w:val="auto"/>
          <w:sz w:val="24"/>
          <w:szCs w:val="24"/>
          <w:highlight w:val="none"/>
        </w:rPr>
        <w:t>16.1</w:t>
      </w:r>
      <w:r>
        <w:rPr>
          <w:rFonts w:hint="eastAsia" w:hAnsi="宋体"/>
          <w:color w:val="auto"/>
          <w:sz w:val="24"/>
          <w:szCs w:val="24"/>
          <w:highlight w:val="none"/>
        </w:rPr>
        <w:t>电子投标文件编制要求：投标人应使用招标文件要求的投标文件制作软件制作电子投标文件，电子投标文件按招标文件规定的格式制作，如果未按要求制作上传，可能导致投标无效。</w:t>
      </w:r>
    </w:p>
    <w:p w14:paraId="0C709978">
      <w:pPr>
        <w:spacing w:line="440" w:lineRule="exact"/>
        <w:rPr>
          <w:rFonts w:ascii="宋体" w:hAnsi="宋体"/>
          <w:b/>
          <w:color w:val="auto"/>
          <w:sz w:val="24"/>
          <w:szCs w:val="24"/>
          <w:highlight w:val="none"/>
        </w:rPr>
      </w:pPr>
      <w:r>
        <w:rPr>
          <w:rFonts w:hint="eastAsia" w:ascii="宋体" w:hAnsi="宋体"/>
          <w:b/>
          <w:color w:val="auto"/>
          <w:sz w:val="24"/>
          <w:szCs w:val="24"/>
          <w:highlight w:val="none"/>
        </w:rPr>
        <w:t>17. 投标报价（编制）要求的说明</w:t>
      </w:r>
    </w:p>
    <w:p w14:paraId="789B67C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0BF1995A">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1D3DA382">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17.3 一项投标内容只允许一个报价，采购代理机构不接受任何有选择性的投标报价。</w:t>
      </w:r>
    </w:p>
    <w:p w14:paraId="5DCB20AE">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17.4投标文件报价中的单价和总价全部采用人民币表示，除非合同的特殊条款另有规定。</w:t>
      </w:r>
    </w:p>
    <w:p w14:paraId="6D027EA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17.5最</w:t>
      </w:r>
      <w:r>
        <w:rPr>
          <w:rFonts w:ascii="宋体" w:hAnsi="宋体"/>
          <w:color w:val="auto"/>
          <w:sz w:val="24"/>
          <w:szCs w:val="24"/>
          <w:highlight w:val="none"/>
        </w:rPr>
        <w:t>低的投标报价或最高的折扣比例是中标的重要条件，但不是中标的唯一条件。</w:t>
      </w:r>
    </w:p>
    <w:p w14:paraId="32C0DDD3">
      <w:pPr>
        <w:spacing w:line="440" w:lineRule="exact"/>
        <w:rPr>
          <w:rFonts w:ascii="宋体" w:hAnsi="宋体"/>
          <w:b/>
          <w:color w:val="auto"/>
          <w:sz w:val="24"/>
          <w:szCs w:val="24"/>
          <w:highlight w:val="none"/>
        </w:rPr>
      </w:pPr>
      <w:r>
        <w:rPr>
          <w:rFonts w:hint="eastAsia" w:ascii="宋体" w:hAnsi="宋体"/>
          <w:b/>
          <w:color w:val="auto"/>
          <w:sz w:val="24"/>
          <w:szCs w:val="24"/>
          <w:highlight w:val="none"/>
        </w:rPr>
        <w:t>18. 投标保证金：</w:t>
      </w:r>
      <w:r>
        <w:rPr>
          <w:rFonts w:hint="eastAsia" w:ascii="宋体" w:hAnsi="宋体"/>
          <w:color w:val="auto"/>
          <w:sz w:val="24"/>
          <w:szCs w:val="24"/>
          <w:highlight w:val="none"/>
        </w:rPr>
        <w:t>本项目无须缴纳投标保证金。</w:t>
      </w:r>
    </w:p>
    <w:p w14:paraId="603280DF">
      <w:pPr>
        <w:spacing w:line="440" w:lineRule="exact"/>
        <w:rPr>
          <w:rFonts w:ascii="宋体" w:hAnsi="宋体"/>
          <w:b/>
          <w:color w:val="auto"/>
          <w:sz w:val="24"/>
          <w:szCs w:val="24"/>
          <w:highlight w:val="none"/>
        </w:rPr>
      </w:pPr>
      <w:r>
        <w:rPr>
          <w:rFonts w:hint="eastAsia" w:ascii="宋体" w:hAnsi="宋体"/>
          <w:b/>
          <w:color w:val="auto"/>
          <w:sz w:val="24"/>
          <w:szCs w:val="24"/>
          <w:highlight w:val="none"/>
        </w:rPr>
        <w:t>19. 投标文件的有效期</w:t>
      </w:r>
    </w:p>
    <w:p w14:paraId="4DBC811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19.1在本招标文件规定的</w:t>
      </w:r>
      <w:r>
        <w:rPr>
          <w:rFonts w:hAnsi="宋体"/>
          <w:color w:val="auto"/>
          <w:sz w:val="24"/>
          <w:szCs w:val="24"/>
          <w:highlight w:val="none"/>
        </w:rPr>
        <w:t>开标之日起</w:t>
      </w:r>
      <w:r>
        <w:rPr>
          <w:rFonts w:hint="eastAsia" w:hAnsi="宋体"/>
          <w:color w:val="auto"/>
          <w:sz w:val="24"/>
          <w:szCs w:val="24"/>
          <w:highlight w:val="none"/>
        </w:rPr>
        <w:t>九十</w:t>
      </w:r>
      <w:r>
        <w:rPr>
          <w:rFonts w:hAnsi="宋体"/>
          <w:color w:val="auto"/>
          <w:sz w:val="24"/>
          <w:szCs w:val="24"/>
          <w:highlight w:val="none"/>
        </w:rPr>
        <w:t>（</w:t>
      </w:r>
      <w:r>
        <w:rPr>
          <w:rFonts w:hint="eastAsia" w:hAnsi="宋体"/>
          <w:color w:val="auto"/>
          <w:sz w:val="24"/>
          <w:szCs w:val="24"/>
          <w:highlight w:val="none"/>
        </w:rPr>
        <w:t>9</w:t>
      </w:r>
      <w:r>
        <w:rPr>
          <w:color w:val="auto"/>
          <w:sz w:val="24"/>
          <w:szCs w:val="24"/>
          <w:highlight w:val="none"/>
        </w:rPr>
        <w:t>0</w:t>
      </w:r>
      <w:r>
        <w:rPr>
          <w:rFonts w:hAnsi="宋体"/>
          <w:color w:val="auto"/>
          <w:sz w:val="24"/>
          <w:szCs w:val="24"/>
          <w:highlight w:val="none"/>
        </w:rPr>
        <w:t>）天</w:t>
      </w:r>
      <w:r>
        <w:rPr>
          <w:rFonts w:hint="eastAsia" w:ascii="宋体" w:hAnsi="宋体"/>
          <w:color w:val="auto"/>
          <w:sz w:val="24"/>
          <w:szCs w:val="24"/>
          <w:highlight w:val="none"/>
        </w:rPr>
        <w:t>内，投标人所提交的投标文件应保持有效。有效期短于这个规定期限的投标文件，将被认定为未实质性响应招标文件要求。</w:t>
      </w:r>
    </w:p>
    <w:p w14:paraId="4AE07D6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19.2在特殊情况下，采购代理机构可与投标人协商延长投标书的有效期。这种要求和答复都应以书面形式进行。同意延长有效期的投标人不能修改投标文件。拒绝接受延期要求的投标人的投标将被拒绝。</w:t>
      </w:r>
    </w:p>
    <w:p w14:paraId="6E007FA3">
      <w:pPr>
        <w:spacing w:line="440" w:lineRule="exact"/>
        <w:rPr>
          <w:rFonts w:ascii="宋体" w:hAnsi="宋体"/>
          <w:b/>
          <w:color w:val="auto"/>
          <w:sz w:val="24"/>
          <w:szCs w:val="24"/>
          <w:highlight w:val="none"/>
        </w:rPr>
      </w:pPr>
      <w:r>
        <w:rPr>
          <w:rFonts w:hint="eastAsia" w:ascii="宋体" w:hAnsi="宋体"/>
          <w:b/>
          <w:color w:val="auto"/>
          <w:sz w:val="24"/>
          <w:szCs w:val="24"/>
          <w:highlight w:val="none"/>
        </w:rPr>
        <w:t>五、 投标文件的提交、撤回和修改</w:t>
      </w:r>
    </w:p>
    <w:p w14:paraId="56ADC90A">
      <w:pPr>
        <w:spacing w:line="440" w:lineRule="exact"/>
        <w:rPr>
          <w:rFonts w:ascii="宋体" w:hAnsi="宋体"/>
          <w:color w:val="auto"/>
          <w:sz w:val="24"/>
          <w:szCs w:val="24"/>
          <w:highlight w:val="none"/>
        </w:rPr>
      </w:pPr>
      <w:r>
        <w:rPr>
          <w:rFonts w:hint="eastAsia" w:ascii="宋体" w:hAnsi="宋体"/>
          <w:b/>
          <w:color w:val="auto"/>
          <w:sz w:val="24"/>
          <w:szCs w:val="24"/>
          <w:highlight w:val="none"/>
        </w:rPr>
        <w:t>20. 投标文件的上传、提交</w:t>
      </w:r>
    </w:p>
    <w:p w14:paraId="5C945ED3">
      <w:pPr>
        <w:tabs>
          <w:tab w:val="left" w:pos="426"/>
        </w:tabs>
        <w:spacing w:line="440" w:lineRule="exact"/>
        <w:rPr>
          <w:rFonts w:ascii="宋体" w:hAnsi="宋体"/>
          <w:b w:val="0"/>
          <w:bCs/>
          <w:color w:val="auto"/>
          <w:sz w:val="24"/>
          <w:szCs w:val="24"/>
          <w:highlight w:val="none"/>
        </w:rPr>
      </w:pPr>
      <w:r>
        <w:rPr>
          <w:rFonts w:hint="eastAsia" w:ascii="宋体" w:hAnsi="宋体"/>
          <w:b/>
          <w:color w:val="auto"/>
          <w:sz w:val="24"/>
          <w:szCs w:val="24"/>
          <w:highlight w:val="none"/>
        </w:rPr>
        <w:t xml:space="preserve">  </w:t>
      </w:r>
      <w:r>
        <w:rPr>
          <w:rFonts w:hint="eastAsia" w:ascii="宋体" w:hAnsi="宋体"/>
          <w:b w:val="0"/>
          <w:bCs/>
          <w:color w:val="auto"/>
          <w:sz w:val="24"/>
          <w:szCs w:val="24"/>
          <w:highlight w:val="none"/>
        </w:rPr>
        <w:t xml:space="preserve"> 20.1投标人应将制作好的加密电子投标文件按要求在投标截止时间前上传到交易系统平台中。</w:t>
      </w:r>
    </w:p>
    <w:p w14:paraId="0E7DC16A">
      <w:pPr>
        <w:spacing w:line="440" w:lineRule="exact"/>
        <w:rPr>
          <w:rFonts w:ascii="宋体" w:hAnsi="宋体"/>
          <w:b/>
          <w:color w:val="auto"/>
          <w:sz w:val="24"/>
          <w:szCs w:val="24"/>
          <w:highlight w:val="none"/>
        </w:rPr>
      </w:pPr>
      <w:r>
        <w:rPr>
          <w:rFonts w:hint="eastAsia" w:ascii="宋体" w:hAnsi="宋体"/>
          <w:b/>
          <w:color w:val="auto"/>
          <w:sz w:val="24"/>
          <w:szCs w:val="24"/>
          <w:highlight w:val="none"/>
        </w:rPr>
        <w:t>21. 投标截止时间</w:t>
      </w:r>
    </w:p>
    <w:p w14:paraId="600D1771">
      <w:pPr>
        <w:tabs>
          <w:tab w:val="left" w:pos="284"/>
        </w:tabs>
        <w:spacing w:line="440" w:lineRule="exact"/>
        <w:rPr>
          <w:rFonts w:ascii="宋体" w:hAnsi="宋体"/>
          <w:b w:val="0"/>
          <w:bCs/>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21.1</w:t>
      </w:r>
      <w:r>
        <w:rPr>
          <w:rFonts w:hint="eastAsia" w:ascii="宋体" w:hAnsi="宋体"/>
          <w:b w:val="0"/>
          <w:bCs/>
          <w:color w:val="auto"/>
          <w:sz w:val="24"/>
          <w:szCs w:val="24"/>
          <w:highlight w:val="none"/>
        </w:rPr>
        <w:t>电子投标文件必须按招标公告中规定的网上投标截止时间前提交，否则投标无效。</w:t>
      </w:r>
    </w:p>
    <w:p w14:paraId="2BBFE74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21.2采购代理机构</w:t>
      </w:r>
      <w:r>
        <w:rPr>
          <w:rFonts w:hint="eastAsia" w:ascii="宋体" w:hAnsi="宋体" w:cs="宋体"/>
          <w:color w:val="auto"/>
          <w:sz w:val="24"/>
          <w:szCs w:val="24"/>
          <w:highlight w:val="none"/>
        </w:rPr>
        <w:t>推迟投标截止时间时，</w:t>
      </w:r>
      <w:r>
        <w:rPr>
          <w:rFonts w:hint="eastAsia" w:ascii="宋体" w:hAnsi="宋体"/>
          <w:color w:val="auto"/>
          <w:sz w:val="24"/>
          <w:szCs w:val="24"/>
          <w:highlight w:val="none"/>
        </w:rPr>
        <w:t>应以更正公告的形式，通知所有投标人</w:t>
      </w:r>
      <w:r>
        <w:rPr>
          <w:rFonts w:hint="eastAsia" w:ascii="宋体" w:hAnsi="宋体" w:cs="宋体"/>
          <w:color w:val="auto"/>
          <w:sz w:val="24"/>
          <w:szCs w:val="24"/>
          <w:highlight w:val="none"/>
        </w:rPr>
        <w:t>。在这种情况下，采购代理机构和投标人的权利和义务将受到新的截止期的约束。</w:t>
      </w:r>
    </w:p>
    <w:p w14:paraId="6DAE803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21.3在投标截止时间止采购代理机构收到的电子投标文件</w:t>
      </w:r>
      <w:r>
        <w:rPr>
          <w:rFonts w:hint="eastAsia" w:ascii="宋体" w:hAnsi="宋体"/>
          <w:b/>
          <w:color w:val="auto"/>
          <w:sz w:val="24"/>
          <w:szCs w:val="24"/>
          <w:highlight w:val="none"/>
        </w:rPr>
        <w:t>少于三份</w:t>
      </w:r>
      <w:r>
        <w:rPr>
          <w:rFonts w:hint="eastAsia" w:ascii="宋体" w:hAnsi="宋体"/>
          <w:color w:val="auto"/>
          <w:sz w:val="24"/>
          <w:szCs w:val="24"/>
          <w:highlight w:val="none"/>
        </w:rPr>
        <w:t>的，采购代理机构有权宣布本次招标失败。</w:t>
      </w:r>
    </w:p>
    <w:p w14:paraId="61E70371">
      <w:pPr>
        <w:spacing w:line="440" w:lineRule="exact"/>
        <w:rPr>
          <w:rFonts w:ascii="宋体" w:hAnsi="宋体"/>
          <w:b/>
          <w:color w:val="auto"/>
          <w:sz w:val="24"/>
          <w:szCs w:val="24"/>
          <w:highlight w:val="none"/>
        </w:rPr>
      </w:pPr>
      <w:r>
        <w:rPr>
          <w:rFonts w:hint="eastAsia" w:ascii="宋体" w:hAnsi="宋体"/>
          <w:b/>
          <w:color w:val="auto"/>
          <w:sz w:val="24"/>
          <w:szCs w:val="24"/>
          <w:highlight w:val="none"/>
        </w:rPr>
        <w:t>22. 投标文件的修改和撤回</w:t>
      </w:r>
    </w:p>
    <w:p w14:paraId="75B59BE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22.1投标人在提交投标文件截止时间前，可对其投标文件进行撤回或修改。</w:t>
      </w:r>
    </w:p>
    <w:p w14:paraId="12BDA52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22.2</w:t>
      </w:r>
      <w:r>
        <w:rPr>
          <w:rFonts w:ascii="宋体" w:hAnsi="宋体"/>
          <w:color w:val="auto"/>
          <w:sz w:val="24"/>
          <w:szCs w:val="24"/>
          <w:highlight w:val="none"/>
        </w:rPr>
        <w:t>开标后投标人不得撤回投标。</w:t>
      </w:r>
    </w:p>
    <w:p w14:paraId="3B00A3E5">
      <w:pPr>
        <w:spacing w:line="440" w:lineRule="exact"/>
        <w:rPr>
          <w:rFonts w:ascii="宋体" w:hAnsi="宋体"/>
          <w:b/>
          <w:color w:val="auto"/>
          <w:sz w:val="24"/>
          <w:szCs w:val="24"/>
          <w:highlight w:val="none"/>
        </w:rPr>
      </w:pPr>
      <w:r>
        <w:rPr>
          <w:rFonts w:hint="eastAsia" w:ascii="宋体" w:hAnsi="宋体"/>
          <w:b/>
          <w:color w:val="auto"/>
          <w:sz w:val="24"/>
          <w:szCs w:val="24"/>
          <w:highlight w:val="none"/>
        </w:rPr>
        <w:t>六、开标和评标</w:t>
      </w:r>
    </w:p>
    <w:p w14:paraId="7F5E910D">
      <w:pPr>
        <w:spacing w:line="440" w:lineRule="exact"/>
        <w:rPr>
          <w:rFonts w:ascii="宋体" w:hAnsi="宋体"/>
          <w:b/>
          <w:color w:val="auto"/>
          <w:sz w:val="24"/>
          <w:szCs w:val="24"/>
          <w:highlight w:val="none"/>
        </w:rPr>
      </w:pPr>
      <w:r>
        <w:rPr>
          <w:rFonts w:hint="eastAsia" w:ascii="宋体" w:hAnsi="宋体"/>
          <w:b/>
          <w:color w:val="auto"/>
          <w:sz w:val="24"/>
          <w:szCs w:val="24"/>
          <w:highlight w:val="none"/>
        </w:rPr>
        <w:t>23. 开标</w:t>
      </w:r>
    </w:p>
    <w:p w14:paraId="059CE61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23.1采购代理机构按采购公告规定的时间、地点主持不见面开标活动。开标仪式由采购代理机构主持。</w:t>
      </w:r>
    </w:p>
    <w:p w14:paraId="181A9B19">
      <w:pPr>
        <w:pBdr>
          <w:top w:val="none" w:color="000000" w:sz="0" w:space="0"/>
          <w:left w:val="none" w:color="000000" w:sz="0" w:space="0"/>
          <w:bottom w:val="none" w:color="000000" w:sz="0" w:space="0"/>
          <w:right w:val="none" w:color="000000" w:sz="0" w:space="0"/>
        </w:pBdr>
        <w:spacing w:line="439" w:lineRule="atLeast"/>
        <w:ind w:firstLine="360"/>
        <w:rPr>
          <w:b w:val="0"/>
          <w:bCs/>
          <w:color w:val="auto"/>
          <w:highlight w:val="none"/>
        </w:rPr>
      </w:pPr>
      <w:r>
        <w:rPr>
          <w:rFonts w:ascii="宋体" w:hAnsi="宋体" w:cs="宋体"/>
          <w:color w:val="auto"/>
          <w:sz w:val="24"/>
          <w:highlight w:val="none"/>
        </w:rPr>
        <w:t>23.2</w:t>
      </w:r>
      <w:r>
        <w:rPr>
          <w:rFonts w:ascii="宋体" w:hAnsi="宋体" w:cs="宋体"/>
          <w:b w:val="0"/>
          <w:bCs/>
          <w:color w:val="auto"/>
          <w:sz w:val="24"/>
          <w:highlight w:val="none"/>
        </w:rPr>
        <w:t>参加开标的投标法定代表人或授权代理人须在项目开标前登录苏采云不见面开标系统，进入网上不见面开标大厅，做好相关准备工作。</w:t>
      </w:r>
    </w:p>
    <w:p w14:paraId="7B128DA0">
      <w:pPr>
        <w:spacing w:line="440" w:lineRule="exact"/>
        <w:ind w:firstLine="360" w:firstLineChars="150"/>
        <w:rPr>
          <w:rFonts w:ascii="宋体" w:hAnsi="宋体" w:cs="宋体"/>
          <w:b w:val="0"/>
          <w:bCs/>
          <w:color w:val="auto"/>
          <w:sz w:val="24"/>
          <w:szCs w:val="24"/>
          <w:highlight w:val="none"/>
        </w:rPr>
      </w:pPr>
      <w:r>
        <w:rPr>
          <w:rFonts w:hint="eastAsia" w:ascii="宋体" w:hAnsi="宋体"/>
          <w:b w:val="0"/>
          <w:bCs/>
          <w:color w:val="auto"/>
          <w:sz w:val="24"/>
          <w:szCs w:val="24"/>
          <w:highlight w:val="none"/>
        </w:rPr>
        <w:t>23.3</w:t>
      </w:r>
      <w:r>
        <w:rPr>
          <w:rFonts w:hint="eastAsia" w:ascii="宋体" w:hAnsi="宋体" w:cs="创艺简仿宋"/>
          <w:b w:val="0"/>
          <w:bCs/>
          <w:color w:val="auto"/>
          <w:sz w:val="24"/>
          <w:szCs w:val="24"/>
          <w:highlight w:val="none"/>
        </w:rPr>
        <w:t>本项目开标后在规定的解密时间内，投标人须自行登录网上开标大厅解密投标文件，解密时间为</w:t>
      </w:r>
      <w:r>
        <w:rPr>
          <w:rFonts w:hint="eastAsia" w:ascii="宋体" w:hAnsi="宋体" w:cs="创艺简仿宋"/>
          <w:b w:val="0"/>
          <w:bCs/>
          <w:color w:val="auto"/>
          <w:sz w:val="24"/>
          <w:szCs w:val="24"/>
          <w:highlight w:val="none"/>
          <w:lang w:val="en-US" w:eastAsia="zh-CN"/>
        </w:rPr>
        <w:t>15</w:t>
      </w:r>
      <w:r>
        <w:rPr>
          <w:rFonts w:hint="eastAsia" w:ascii="宋体" w:hAnsi="宋体" w:cs="创艺简仿宋"/>
          <w:b w:val="0"/>
          <w:bCs/>
          <w:color w:val="auto"/>
          <w:sz w:val="24"/>
          <w:szCs w:val="24"/>
          <w:highlight w:val="none"/>
        </w:rPr>
        <w:t>分钟，因自身原因导致解密失败的，由投标人自行承担相关责任。</w:t>
      </w:r>
    </w:p>
    <w:p w14:paraId="0020E954">
      <w:pPr>
        <w:spacing w:line="440" w:lineRule="exact"/>
        <w:ind w:firstLine="360" w:firstLineChars="150"/>
        <w:rPr>
          <w:rFonts w:ascii="宋体" w:hAnsi="宋体" w:cs="宋体"/>
          <w:color w:val="auto"/>
          <w:sz w:val="24"/>
          <w:szCs w:val="24"/>
          <w:highlight w:val="none"/>
        </w:rPr>
      </w:pPr>
      <w:r>
        <w:rPr>
          <w:rFonts w:hint="eastAsia" w:ascii="宋体" w:hAnsi="宋体"/>
          <w:color w:val="auto"/>
          <w:sz w:val="24"/>
          <w:szCs w:val="24"/>
          <w:highlight w:val="none"/>
        </w:rPr>
        <w:t>23.4</w:t>
      </w:r>
      <w:r>
        <w:rPr>
          <w:rFonts w:hint="eastAsia" w:ascii="宋体" w:hAnsi="宋体" w:cs="宋体"/>
          <w:color w:val="auto"/>
          <w:sz w:val="24"/>
          <w:szCs w:val="24"/>
          <w:highlight w:val="none"/>
        </w:rPr>
        <w:t>采购代理机构在开标仪式上，将公布投标人的名称、投标价格，并将作唱标记录。</w:t>
      </w:r>
    </w:p>
    <w:p w14:paraId="70F925FE">
      <w:pPr>
        <w:spacing w:line="440" w:lineRule="exact"/>
        <w:ind w:firstLine="360" w:firstLineChars="150"/>
        <w:rPr>
          <w:rFonts w:hint="eastAsia" w:ascii="宋体" w:hAnsi="宋体"/>
          <w:b/>
          <w:color w:val="auto"/>
          <w:sz w:val="24"/>
          <w:szCs w:val="24"/>
          <w:highlight w:val="none"/>
        </w:rPr>
      </w:pPr>
      <w:r>
        <w:rPr>
          <w:rFonts w:hint="eastAsia" w:ascii="宋体" w:hAnsi="宋体"/>
          <w:color w:val="auto"/>
          <w:sz w:val="24"/>
          <w:szCs w:val="24"/>
          <w:highlight w:val="none"/>
        </w:rPr>
        <w:t>23.5</w:t>
      </w:r>
      <w:r>
        <w:rPr>
          <w:rFonts w:hint="eastAsia" w:ascii="宋体" w:hAnsi="宋体" w:cs="Arial"/>
          <w:color w:val="auto"/>
          <w:kern w:val="0"/>
          <w:sz w:val="24"/>
          <w:szCs w:val="24"/>
          <w:highlight w:val="none"/>
        </w:rPr>
        <w:t>投标人代表对开标过程和开标记录有疑义，以及认为采购人、采购代理机构相关工作人员有需要回避的情形的</w:t>
      </w:r>
      <w:r>
        <w:rPr>
          <w:rFonts w:hint="eastAsia" w:ascii="宋体" w:hAnsi="宋体" w:cs="Arial"/>
          <w:b w:val="0"/>
          <w:bCs w:val="0"/>
          <w:color w:val="auto"/>
          <w:kern w:val="0"/>
          <w:sz w:val="24"/>
          <w:szCs w:val="24"/>
          <w:highlight w:val="none"/>
        </w:rPr>
        <w:t>，</w:t>
      </w:r>
      <w:r>
        <w:rPr>
          <w:rFonts w:hint="eastAsia" w:ascii="宋体" w:hAnsi="宋体" w:cs="Calibri"/>
          <w:b w:val="0"/>
          <w:bCs w:val="0"/>
          <w:color w:val="auto"/>
          <w:kern w:val="0"/>
          <w:sz w:val="24"/>
          <w:szCs w:val="24"/>
          <w:highlight w:val="none"/>
        </w:rPr>
        <w:t>应通过不见面开标大厅提出</w:t>
      </w:r>
      <w:r>
        <w:rPr>
          <w:rFonts w:hint="eastAsia" w:ascii="宋体" w:hAnsi="宋体" w:cs="Arial"/>
          <w:b w:val="0"/>
          <w:bCs w:val="0"/>
          <w:color w:val="auto"/>
          <w:kern w:val="0"/>
          <w:sz w:val="24"/>
          <w:szCs w:val="24"/>
          <w:highlight w:val="none"/>
        </w:rPr>
        <w:t>询</w:t>
      </w:r>
      <w:r>
        <w:rPr>
          <w:rFonts w:hint="eastAsia" w:ascii="宋体" w:hAnsi="宋体" w:cs="Arial"/>
          <w:color w:val="auto"/>
          <w:kern w:val="0"/>
          <w:sz w:val="24"/>
          <w:szCs w:val="24"/>
          <w:highlight w:val="none"/>
        </w:rPr>
        <w:t>问或者回避申请。采购人、采购代理机构对投标人代表提出的询问或者回避申请应当及时处理。</w:t>
      </w:r>
    </w:p>
    <w:p w14:paraId="53691CF4">
      <w:pPr>
        <w:spacing w:line="440" w:lineRule="exact"/>
        <w:ind w:firstLine="241" w:firstLineChars="100"/>
        <w:rPr>
          <w:rFonts w:ascii="宋体" w:hAnsi="宋体"/>
          <w:b/>
          <w:color w:val="auto"/>
          <w:sz w:val="24"/>
          <w:szCs w:val="24"/>
          <w:highlight w:val="none"/>
        </w:rPr>
      </w:pPr>
      <w:r>
        <w:rPr>
          <w:rFonts w:hint="eastAsia" w:ascii="宋体" w:hAnsi="宋体"/>
          <w:b/>
          <w:color w:val="auto"/>
          <w:sz w:val="24"/>
          <w:szCs w:val="24"/>
          <w:highlight w:val="none"/>
        </w:rPr>
        <w:t>24. 评标委员会</w:t>
      </w:r>
      <w:r>
        <w:rPr>
          <w:rFonts w:hint="eastAsia" w:ascii="宋体" w:hAnsi="宋体"/>
          <w:b/>
          <w:color w:val="auto"/>
          <w:sz w:val="24"/>
          <w:szCs w:val="24"/>
          <w:highlight w:val="none"/>
        </w:rPr>
        <w:tab/>
      </w:r>
    </w:p>
    <w:p w14:paraId="7C1D907F">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24.1评标委员会由采购代理机构依法组建，负责本项目的评标事务。</w:t>
      </w:r>
    </w:p>
    <w:p w14:paraId="707784C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24.2评标委员会独立履行下列职责：</w:t>
      </w:r>
    </w:p>
    <w:p w14:paraId="71D014B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24.2.1审查投标文件是否符合招标文件的要求，并作出评价；</w:t>
      </w:r>
    </w:p>
    <w:p w14:paraId="6613497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24.2.2可以要求投标供应商对投标文件有关事项作出解释或澄清；</w:t>
      </w:r>
    </w:p>
    <w:p w14:paraId="7587F84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24.2.3推荐中标候选供应商名单，或者受采购人委托按照事先确定的办法直接确定中标供应商；</w:t>
      </w:r>
    </w:p>
    <w:p w14:paraId="0A6CC5F5">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24.2.4向采购代理机构或者有关部门报告非法干预评标工作的行为。</w:t>
      </w:r>
    </w:p>
    <w:p w14:paraId="008EFF1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24.3评标委员会成员应当履行下列义务：</w:t>
      </w:r>
    </w:p>
    <w:p w14:paraId="03D34E4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24.3.1遵纪守法，客观、公正、廉洁地履行职责；</w:t>
      </w:r>
    </w:p>
    <w:p w14:paraId="3680C08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24.3.2按照招标文件规定的评标办法和评标标准进行评标，对评审意见承担个人责任；</w:t>
      </w:r>
    </w:p>
    <w:p w14:paraId="6CEBC9D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24.3.3对评标过程和结果，以及投标人的商业秘密保密；</w:t>
      </w:r>
    </w:p>
    <w:p w14:paraId="65CA39FE">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24.3.4参与评标报告的起草；</w:t>
      </w:r>
    </w:p>
    <w:p w14:paraId="0A58E12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24.3.5配合采购代理机构答复投标供应商提出的质疑；</w:t>
      </w:r>
    </w:p>
    <w:p w14:paraId="0C04C5F2">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24.3.6配合相关部门的投诉处理工作；</w:t>
      </w:r>
    </w:p>
    <w:p w14:paraId="46EA0592">
      <w:pPr>
        <w:spacing w:line="440" w:lineRule="exact"/>
        <w:rPr>
          <w:rFonts w:ascii="宋体" w:hAnsi="宋体"/>
          <w:b/>
          <w:color w:val="auto"/>
          <w:sz w:val="24"/>
          <w:szCs w:val="24"/>
          <w:highlight w:val="none"/>
        </w:rPr>
      </w:pPr>
      <w:r>
        <w:rPr>
          <w:rFonts w:hint="eastAsia" w:ascii="宋体" w:hAnsi="宋体"/>
          <w:b/>
          <w:color w:val="auto"/>
          <w:sz w:val="24"/>
          <w:szCs w:val="24"/>
          <w:highlight w:val="none"/>
        </w:rPr>
        <w:t>25. 评标内容的保密</w:t>
      </w:r>
    </w:p>
    <w:p w14:paraId="5CFF964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25.1公开开标后，直到宣布授予中标供应商合同为止，凡属于审查、澄清、评价和比较投标的所有资料，有关授予合同的信息都不应向投标人或与评标无关的其他人泄露。</w:t>
      </w:r>
    </w:p>
    <w:p w14:paraId="1D88736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25.2 在投标文件的审查、澄清、评价和比较以及授予合同的过程中，投标人对采购代理机构和评标委员会成员施加影响的任何行为，都将取消其投标资格。</w:t>
      </w:r>
    </w:p>
    <w:p w14:paraId="06250B2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25.3在评标期间，采购代理机构将通过指定联络人与投标人进行联系。</w:t>
      </w:r>
    </w:p>
    <w:p w14:paraId="579AA580">
      <w:pPr>
        <w:spacing w:line="440" w:lineRule="exact"/>
        <w:rPr>
          <w:rFonts w:ascii="宋体" w:hAnsi="宋体"/>
          <w:b/>
          <w:color w:val="auto"/>
          <w:sz w:val="24"/>
          <w:szCs w:val="24"/>
          <w:highlight w:val="none"/>
        </w:rPr>
      </w:pPr>
      <w:r>
        <w:rPr>
          <w:rFonts w:hint="eastAsia" w:ascii="宋体" w:hAnsi="宋体"/>
          <w:b/>
          <w:color w:val="auto"/>
          <w:sz w:val="24"/>
          <w:szCs w:val="24"/>
          <w:highlight w:val="none"/>
        </w:rPr>
        <w:t>26.对投标文件初审</w:t>
      </w:r>
    </w:p>
    <w:p w14:paraId="6B42D11D">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26.1投标文件初审分为资格性检查和符合性检查。</w:t>
      </w:r>
    </w:p>
    <w:p w14:paraId="5C4BE2ED">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26.1.1资格性检查。依据法律法规和招标文件的规定，</w:t>
      </w:r>
      <w:r>
        <w:rPr>
          <w:rFonts w:hint="eastAsia" w:ascii="Arial" w:hAnsi="Arial" w:cs="Arial"/>
          <w:color w:val="auto"/>
          <w:kern w:val="0"/>
          <w:sz w:val="24"/>
          <w:highlight w:val="none"/>
        </w:rPr>
        <w:t>采购人或者采购代理机构依法对投标人的资格进行审查。</w:t>
      </w:r>
      <w:r>
        <w:rPr>
          <w:rFonts w:hint="eastAsia" w:ascii="宋体" w:hAnsi="宋体"/>
          <w:color w:val="auto"/>
          <w:sz w:val="24"/>
          <w:szCs w:val="24"/>
          <w:highlight w:val="none"/>
        </w:rPr>
        <w:t>对投标文件中的资格证明等文件进行审查，以确定投标供应商是否具备投标资格。</w:t>
      </w:r>
    </w:p>
    <w:p w14:paraId="7E8E44B3">
      <w:pPr>
        <w:autoSpaceDE w:val="0"/>
        <w:autoSpaceDN w:val="0"/>
        <w:adjustRightInd w:val="0"/>
        <w:spacing w:line="360" w:lineRule="auto"/>
        <w:ind w:firstLine="480" w:firstLineChars="200"/>
        <w:jc w:val="left"/>
        <w:rPr>
          <w:rFonts w:ascii="宋体" w:hAnsi="宋体"/>
          <w:color w:val="auto"/>
          <w:sz w:val="24"/>
          <w:highlight w:val="none"/>
          <w:lang w:val="zh-CN"/>
        </w:rPr>
      </w:pPr>
      <w:r>
        <w:rPr>
          <w:rFonts w:hint="eastAsia" w:ascii="宋体" w:hAnsi="宋体"/>
          <w:color w:val="auto"/>
          <w:sz w:val="24"/>
          <w:szCs w:val="24"/>
          <w:highlight w:val="none"/>
        </w:rPr>
        <w:t xml:space="preserve">26.1.2 </w:t>
      </w:r>
      <w:r>
        <w:rPr>
          <w:rFonts w:hint="eastAsia" w:ascii="宋体" w:hAnsi="宋体"/>
          <w:color w:val="auto"/>
          <w:sz w:val="24"/>
          <w:highlight w:val="none"/>
          <w:lang w:val="zh-CN"/>
        </w:rPr>
        <w:t>关于信用记录查询：</w:t>
      </w:r>
    </w:p>
    <w:p w14:paraId="47C2C0AB">
      <w:pPr>
        <w:pStyle w:val="12"/>
        <w:spacing w:before="0" w:beforeAutospacing="0" w:after="0" w:afterAutospacing="0" w:line="360" w:lineRule="auto"/>
        <w:ind w:firstLine="480" w:firstLineChars="200"/>
        <w:rPr>
          <w:rFonts w:eastAsia="宋体" w:cs="Times New Roman"/>
          <w:color w:val="auto"/>
          <w:kern w:val="2"/>
          <w:szCs w:val="24"/>
          <w:highlight w:val="none"/>
          <w:lang w:val="zh-CN"/>
        </w:rPr>
      </w:pPr>
      <w:r>
        <w:rPr>
          <w:rFonts w:hint="eastAsia" w:eastAsia="宋体" w:cs="Times New Roman"/>
          <w:color w:val="auto"/>
          <w:kern w:val="2"/>
          <w:szCs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DFD9AF4">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szCs w:val="24"/>
          <w:highlight w:val="none"/>
        </w:rPr>
        <w:t>26.1.2.1</w:t>
      </w:r>
      <w:r>
        <w:rPr>
          <w:rFonts w:hint="eastAsia" w:ascii="宋体" w:hAnsi="宋体"/>
          <w:color w:val="auto"/>
          <w:sz w:val="24"/>
          <w:highlight w:val="none"/>
          <w:lang w:val="zh-CN"/>
        </w:rPr>
        <w:t>查询时间：</w:t>
      </w:r>
      <w:r>
        <w:rPr>
          <w:rFonts w:ascii="宋体" w:hAnsi="宋体" w:eastAsia="宋体" w:cs="宋体"/>
          <w:color w:val="auto"/>
          <w:sz w:val="24"/>
          <w:highlight w:val="none"/>
          <w:lang w:eastAsia="zh-CN"/>
        </w:rPr>
        <w:t>评标开始前</w:t>
      </w:r>
      <w:r>
        <w:rPr>
          <w:rFonts w:hint="eastAsia" w:ascii="宋体" w:hAnsi="宋体"/>
          <w:color w:val="auto"/>
          <w:sz w:val="24"/>
          <w:highlight w:val="none"/>
          <w:lang w:val="zh-CN"/>
        </w:rPr>
        <w:t>。</w:t>
      </w:r>
    </w:p>
    <w:p w14:paraId="0B1E5F6F">
      <w:pPr>
        <w:autoSpaceDE w:val="0"/>
        <w:autoSpaceDN w:val="0"/>
        <w:adjustRightInd w:val="0"/>
        <w:spacing w:line="360" w:lineRule="auto"/>
        <w:ind w:firstLine="480" w:firstLineChars="200"/>
        <w:jc w:val="left"/>
        <w:rPr>
          <w:color w:val="auto"/>
          <w:sz w:val="24"/>
          <w:szCs w:val="24"/>
          <w:highlight w:val="none"/>
        </w:rPr>
      </w:pPr>
      <w:r>
        <w:rPr>
          <w:rFonts w:hint="eastAsia" w:ascii="宋体" w:hAnsi="宋体"/>
          <w:color w:val="auto"/>
          <w:sz w:val="24"/>
          <w:szCs w:val="24"/>
          <w:highlight w:val="none"/>
        </w:rPr>
        <w:t>26.1.2.2</w:t>
      </w:r>
      <w:r>
        <w:rPr>
          <w:rFonts w:hint="eastAsia" w:ascii="宋体" w:hAnsi="宋体"/>
          <w:color w:val="auto"/>
          <w:sz w:val="24"/>
          <w:highlight w:val="none"/>
          <w:lang w:val="zh-CN"/>
        </w:rPr>
        <w:t>查询渠道：</w:t>
      </w:r>
      <w:r>
        <w:rPr>
          <w:color w:val="auto"/>
          <w:sz w:val="24"/>
          <w:szCs w:val="24"/>
          <w:highlight w:val="none"/>
        </w:rPr>
        <w:t>通过“信用中国”网站、中国政府采购网等渠道查询相关主体信用记录。</w:t>
      </w:r>
    </w:p>
    <w:p w14:paraId="66339038">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szCs w:val="24"/>
          <w:highlight w:val="none"/>
        </w:rPr>
        <w:t>26.1.2.3</w:t>
      </w:r>
      <w:r>
        <w:rPr>
          <w:rFonts w:hint="eastAsia" w:ascii="宋体" w:hAnsi="宋体"/>
          <w:color w:val="auto"/>
          <w:sz w:val="24"/>
          <w:highlight w:val="none"/>
          <w:lang w:val="zh-CN"/>
        </w:rPr>
        <w:t>查询证据留存方式：对存在失信信息的供应商，</w:t>
      </w:r>
      <w:r>
        <w:rPr>
          <w:rFonts w:hint="eastAsia" w:ascii="Arial" w:hAnsi="Arial" w:cs="Arial"/>
          <w:color w:val="auto"/>
          <w:kern w:val="0"/>
          <w:sz w:val="24"/>
          <w:highlight w:val="none"/>
        </w:rPr>
        <w:t>采购人或者采购代理机构</w:t>
      </w:r>
      <w:r>
        <w:rPr>
          <w:rFonts w:hint="eastAsia" w:ascii="宋体" w:hAnsi="宋体"/>
          <w:color w:val="auto"/>
          <w:sz w:val="24"/>
          <w:highlight w:val="none"/>
          <w:lang w:val="zh-CN"/>
        </w:rPr>
        <w:t>应填写《苏州市级政府采购供应商失信信息确认函》，由失信供应商应签名确认。同时，采购代理机构工作人员应根据失信信息，登陆到来源网站页面进行复核并打印，作为证据留存。</w:t>
      </w:r>
    </w:p>
    <w:p w14:paraId="6BF58ED4">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szCs w:val="24"/>
          <w:highlight w:val="none"/>
        </w:rPr>
        <w:t>26.1.2.4</w:t>
      </w:r>
      <w:r>
        <w:rPr>
          <w:rFonts w:hint="eastAsia" w:ascii="宋体" w:hAnsi="宋体"/>
          <w:color w:val="auto"/>
          <w:sz w:val="24"/>
          <w:highlight w:val="none"/>
          <w:lang w:val="zh-CN"/>
        </w:rPr>
        <w:t>信用记录使用规则：评审小组在对供应商进行资格性审查时，应根据查询结果对供应商的不良信用记录逐项甄别确认。</w:t>
      </w:r>
    </w:p>
    <w:p w14:paraId="501B492A">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26.1.3符合性检查。依据招标文件的规定，从投标文件的有效性、完整性和对招标文件的响应程度进行审查，以确定是否对招标文件的实质性要求作出响应。</w:t>
      </w:r>
    </w:p>
    <w:p w14:paraId="75DC66B4">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2F255460">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.2.1 不同投标人的投标文件由同一单位或者个人编制；</w:t>
      </w:r>
    </w:p>
    <w:p w14:paraId="464856CB">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.2.2不同投</w:t>
      </w:r>
      <w:r>
        <w:rPr>
          <w:rFonts w:hint="eastAsia" w:ascii="宋体" w:hAnsi="宋体"/>
          <w:color w:val="auto"/>
          <w:sz w:val="24"/>
          <w:szCs w:val="24"/>
          <w:highlight w:val="none"/>
        </w:rPr>
        <w:t>标人委托同一单位或者个人办理投标事宜；</w:t>
      </w:r>
    </w:p>
    <w:p w14:paraId="2DD27B61">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26.2.3不同投标人的投标文件载明的项目管理成员或者联系人员为同一人；</w:t>
      </w:r>
    </w:p>
    <w:p w14:paraId="33E5BB9E">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26.2.4不同投标人的投标文件异常一致或者投标报价呈规律性差异；</w:t>
      </w:r>
    </w:p>
    <w:p w14:paraId="536EFE3B">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26.2.5不同投标人的投标文件相互混装；</w:t>
      </w:r>
    </w:p>
    <w:p w14:paraId="3CA82B01">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供应商的义务。这些偏离或保留将会对其他实质上响应要求的供应商的竞争地位产生不公正的影响。</w:t>
      </w:r>
    </w:p>
    <w:p w14:paraId="24322B01">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49AC2F8E">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w:t>
      </w:r>
      <w:r>
        <w:rPr>
          <w:rFonts w:hint="eastAsia" w:ascii="宋体" w:hAnsi="宋体"/>
          <w:color w:val="auto"/>
          <w:sz w:val="24"/>
          <w:szCs w:val="24"/>
          <w:highlight w:val="none"/>
        </w:rPr>
        <w:t>评标委员会</w:t>
      </w:r>
      <w:r>
        <w:rPr>
          <w:rFonts w:hint="eastAsia" w:ascii="宋体" w:hAnsi="宋体"/>
          <w:color w:val="auto"/>
          <w:sz w:val="24"/>
          <w:highlight w:val="none"/>
          <w:lang w:val="zh-CN"/>
        </w:rPr>
        <w:t>将允许修改投标中不构成重大偏离的微小的、非正规、不一致或不规则的地方，但这些修改不能影响任何供应商的名次相应排列。供应商不得对招标文件进行实质性修改，否则投标文件将被拒绝。</w:t>
      </w:r>
    </w:p>
    <w:p w14:paraId="34CF64F0">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.6评委会将对确定为实质性响应的投标进行审核，看其是否有计算上或累加上的算术错误，修正错误的原则如下：</w:t>
      </w:r>
    </w:p>
    <w:p w14:paraId="3F8F9CF6">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.6.1投标文件中开标一览表（报价表）内容与投标文件中相应内容不一致的，以开标一览表（报价表）为准；</w:t>
      </w:r>
    </w:p>
    <w:p w14:paraId="295E25F1">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.6.2大写金额和小写金额不一致的，以大写金额为准；</w:t>
      </w:r>
    </w:p>
    <w:p w14:paraId="2FE1F791">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.6.3单价金额小数点或者百分比有明显错位的，以开标一览表的总价为准，并修改单价；</w:t>
      </w:r>
    </w:p>
    <w:p w14:paraId="08913D64">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.6.4总价金额与按单价汇总金额不一致的，以单价金额计算结果为准。</w:t>
      </w:r>
    </w:p>
    <w:p w14:paraId="339DB71B">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ascii="宋体" w:hAnsi="宋体"/>
          <w:color w:val="auto"/>
          <w:sz w:val="24"/>
          <w:highlight w:val="none"/>
          <w:lang w:val="zh-CN"/>
        </w:rPr>
        <w:t>同时出现两种以上不一致的，按照前款规定的顺序修正。修正后的报价按照本</w:t>
      </w:r>
      <w:r>
        <w:rPr>
          <w:rFonts w:hint="eastAsia" w:ascii="宋体" w:hAnsi="宋体"/>
          <w:color w:val="auto"/>
          <w:sz w:val="24"/>
          <w:highlight w:val="none"/>
          <w:lang w:val="zh-CN"/>
        </w:rPr>
        <w:t>须知</w:t>
      </w:r>
    </w:p>
    <w:p w14:paraId="4326E92D">
      <w:pPr>
        <w:autoSpaceDE w:val="0"/>
        <w:autoSpaceDN w:val="0"/>
        <w:adjustRightInd w:val="0"/>
        <w:spacing w:line="360" w:lineRule="auto"/>
        <w:ind w:firstLine="480" w:firstLineChars="200"/>
        <w:jc w:val="left"/>
        <w:rPr>
          <w:rFonts w:ascii="宋体" w:hAnsi="宋体"/>
          <w:color w:val="auto"/>
          <w:sz w:val="24"/>
          <w:highlight w:val="none"/>
          <w:lang w:val="zh-CN"/>
        </w:rPr>
      </w:pPr>
      <w:r>
        <w:rPr>
          <w:rFonts w:hint="eastAsia" w:ascii="宋体" w:hAnsi="宋体"/>
          <w:color w:val="auto"/>
          <w:sz w:val="24"/>
          <w:highlight w:val="none"/>
          <w:lang w:val="zh-CN"/>
        </w:rPr>
        <w:t>条</w:t>
      </w:r>
      <w:r>
        <w:rPr>
          <w:rFonts w:ascii="宋体" w:hAnsi="宋体"/>
          <w:color w:val="auto"/>
          <w:sz w:val="24"/>
          <w:highlight w:val="none"/>
          <w:lang w:val="zh-CN"/>
        </w:rPr>
        <w:t>规定经投标人确认后产生约束力，投标人不确认的，其投标无效。</w:t>
      </w:r>
    </w:p>
    <w:p w14:paraId="03E3DFB3">
      <w:pPr>
        <w:spacing w:line="440" w:lineRule="exact"/>
        <w:ind w:firstLine="361"/>
        <w:rPr>
          <w:rFonts w:hint="eastAsia" w:ascii="宋体" w:hAnsi="宋体" w:eastAsia="宋体" w:cs="Times New Roman"/>
          <w:b/>
          <w:color w:val="auto"/>
          <w:kern w:val="0"/>
          <w:sz w:val="24"/>
          <w:szCs w:val="24"/>
          <w:highlight w:val="none"/>
          <w:lang w:val="zh-CN"/>
        </w:rPr>
      </w:pPr>
      <w:r>
        <w:rPr>
          <w:rFonts w:hint="eastAsia" w:ascii="宋体" w:hAnsi="宋体" w:eastAsia="宋体" w:cs="Times New Roman"/>
          <w:b/>
          <w:color w:val="auto"/>
          <w:kern w:val="0"/>
          <w:sz w:val="24"/>
          <w:szCs w:val="24"/>
          <w:highlight w:val="none"/>
          <w:lang w:val="zh-CN"/>
        </w:rPr>
        <w:t>26.7异常低价审查</w:t>
      </w:r>
    </w:p>
    <w:p w14:paraId="672F70B0">
      <w:pPr>
        <w:spacing w:line="440" w:lineRule="exact"/>
        <w:ind w:firstLine="361"/>
        <w:rPr>
          <w:rFonts w:hint="default" w:ascii="宋体" w:hAnsi="宋体" w:eastAsia="宋体" w:cs="Times New Roman"/>
          <w:b/>
          <w:color w:val="auto"/>
          <w:kern w:val="0"/>
          <w:sz w:val="24"/>
          <w:szCs w:val="24"/>
          <w:highlight w:val="none"/>
          <w:lang w:val="zh-CN"/>
        </w:rPr>
      </w:pPr>
      <w:r>
        <w:rPr>
          <w:rFonts w:hint="eastAsia" w:ascii="宋体" w:hAnsi="宋体" w:eastAsia="宋体" w:cs="Times New Roman"/>
          <w:b/>
          <w:color w:val="auto"/>
          <w:kern w:val="0"/>
          <w:sz w:val="24"/>
          <w:szCs w:val="24"/>
          <w:highlight w:val="none"/>
          <w:lang w:val="en-US" w:eastAsia="zh-CN"/>
        </w:rPr>
        <w:t>26.7.1根据</w:t>
      </w:r>
      <w:r>
        <w:rPr>
          <w:rFonts w:hint="eastAsia" w:ascii="宋体" w:hAnsi="宋体" w:eastAsia="宋体" w:cs="Times New Roman"/>
          <w:b/>
          <w:color w:val="auto"/>
          <w:kern w:val="0"/>
          <w:sz w:val="24"/>
          <w:szCs w:val="24"/>
          <w:highlight w:val="none"/>
          <w:lang w:val="zh-CN"/>
        </w:rPr>
        <w:t>《关于推动解决政府采购异常低价问题相关工作的通知》（苏财购〔2025〕62号）</w:t>
      </w:r>
      <w:r>
        <w:rPr>
          <w:rFonts w:hint="eastAsia" w:ascii="宋体" w:hAnsi="宋体" w:eastAsia="宋体" w:cs="Times New Roman"/>
          <w:b/>
          <w:color w:val="auto"/>
          <w:kern w:val="0"/>
          <w:sz w:val="24"/>
          <w:szCs w:val="24"/>
          <w:highlight w:val="none"/>
          <w:lang w:val="en-US" w:eastAsia="zh-CN"/>
        </w:rPr>
        <w:t>要求，</w:t>
      </w:r>
      <w:r>
        <w:rPr>
          <w:rFonts w:hint="default" w:ascii="宋体" w:hAnsi="宋体" w:eastAsia="宋体" w:cs="Times New Roman"/>
          <w:b/>
          <w:color w:val="auto"/>
          <w:kern w:val="0"/>
          <w:sz w:val="24"/>
          <w:szCs w:val="24"/>
          <w:highlight w:val="none"/>
          <w:lang w:val="zh-CN"/>
        </w:rPr>
        <w:t>评审委员会评审过程中出现下列情形之一的，评审委员会应当启动异常低价投标（响应）审查程序：</w:t>
      </w:r>
    </w:p>
    <w:p w14:paraId="4208C122">
      <w:pPr>
        <w:spacing w:line="440" w:lineRule="exact"/>
        <w:ind w:firstLine="361"/>
        <w:rPr>
          <w:rFonts w:hint="default" w:ascii="宋体" w:hAnsi="宋体" w:eastAsia="宋体" w:cs="Times New Roman"/>
          <w:b/>
          <w:color w:val="auto"/>
          <w:kern w:val="0"/>
          <w:sz w:val="24"/>
          <w:szCs w:val="24"/>
          <w:highlight w:val="none"/>
          <w:lang w:val="zh-CN"/>
        </w:rPr>
      </w:pPr>
      <w:r>
        <w:rPr>
          <w:rFonts w:hint="eastAsia" w:ascii="宋体" w:hAnsi="宋体" w:eastAsia="宋体" w:cs="Times New Roman"/>
          <w:b/>
          <w:color w:val="auto"/>
          <w:kern w:val="0"/>
          <w:sz w:val="24"/>
          <w:szCs w:val="24"/>
          <w:highlight w:val="none"/>
          <w:lang w:val="zh-CN"/>
        </w:rPr>
        <w:t>（</w:t>
      </w:r>
      <w:r>
        <w:rPr>
          <w:rFonts w:hint="eastAsia" w:ascii="宋体" w:hAnsi="宋体" w:eastAsia="宋体" w:cs="Times New Roman"/>
          <w:b/>
          <w:color w:val="auto"/>
          <w:kern w:val="0"/>
          <w:sz w:val="24"/>
          <w:szCs w:val="24"/>
          <w:highlight w:val="none"/>
          <w:lang w:val="en-US" w:eastAsia="zh-CN"/>
        </w:rPr>
        <w:t>1</w:t>
      </w:r>
      <w:r>
        <w:rPr>
          <w:rFonts w:hint="eastAsia" w:ascii="宋体" w:hAnsi="宋体" w:eastAsia="宋体" w:cs="Times New Roman"/>
          <w:b/>
          <w:color w:val="auto"/>
          <w:kern w:val="0"/>
          <w:sz w:val="24"/>
          <w:szCs w:val="24"/>
          <w:highlight w:val="none"/>
          <w:lang w:val="zh-CN"/>
        </w:rPr>
        <w:t>）</w:t>
      </w:r>
      <w:r>
        <w:rPr>
          <w:rFonts w:hint="default" w:ascii="宋体" w:hAnsi="宋体" w:eastAsia="宋体" w:cs="Times New Roman"/>
          <w:b/>
          <w:color w:val="auto"/>
          <w:kern w:val="0"/>
          <w:sz w:val="24"/>
          <w:szCs w:val="24"/>
          <w:highlight w:val="none"/>
          <w:lang w:val="zh-CN"/>
        </w:rPr>
        <w:t>投标（响应）报价低于采购项目预算50%的，即投标（响应）报价&lt;采购项目预算×50%；</w:t>
      </w:r>
    </w:p>
    <w:p w14:paraId="0D725F19">
      <w:pPr>
        <w:spacing w:line="440" w:lineRule="exact"/>
        <w:ind w:firstLine="361"/>
        <w:rPr>
          <w:rFonts w:hint="default" w:ascii="宋体" w:hAnsi="宋体" w:eastAsia="宋体" w:cs="Times New Roman"/>
          <w:b/>
          <w:color w:val="auto"/>
          <w:kern w:val="0"/>
          <w:sz w:val="24"/>
          <w:szCs w:val="24"/>
          <w:highlight w:val="none"/>
          <w:lang w:val="zh-CN"/>
        </w:rPr>
      </w:pPr>
      <w:r>
        <w:rPr>
          <w:rFonts w:hint="eastAsia" w:ascii="宋体" w:hAnsi="宋体" w:eastAsia="宋体" w:cs="Times New Roman"/>
          <w:b/>
          <w:color w:val="auto"/>
          <w:kern w:val="0"/>
          <w:sz w:val="24"/>
          <w:szCs w:val="24"/>
          <w:highlight w:val="none"/>
          <w:lang w:val="zh-CN"/>
        </w:rPr>
        <w:t>（</w:t>
      </w:r>
      <w:r>
        <w:rPr>
          <w:rFonts w:hint="eastAsia" w:ascii="宋体" w:hAnsi="宋体" w:eastAsia="宋体" w:cs="Times New Roman"/>
          <w:b/>
          <w:color w:val="auto"/>
          <w:kern w:val="0"/>
          <w:sz w:val="24"/>
          <w:szCs w:val="24"/>
          <w:highlight w:val="none"/>
          <w:lang w:val="en-US" w:eastAsia="zh-CN"/>
        </w:rPr>
        <w:t>2</w:t>
      </w:r>
      <w:r>
        <w:rPr>
          <w:rFonts w:hint="eastAsia" w:ascii="宋体" w:hAnsi="宋体" w:eastAsia="宋体" w:cs="Times New Roman"/>
          <w:b/>
          <w:color w:val="auto"/>
          <w:kern w:val="0"/>
          <w:sz w:val="24"/>
          <w:szCs w:val="24"/>
          <w:highlight w:val="none"/>
          <w:lang w:val="zh-CN"/>
        </w:rPr>
        <w:t>）</w:t>
      </w:r>
      <w:r>
        <w:rPr>
          <w:rFonts w:hint="default" w:ascii="宋体" w:hAnsi="宋体" w:eastAsia="宋体" w:cs="Times New Roman"/>
          <w:b/>
          <w:color w:val="auto"/>
          <w:kern w:val="0"/>
          <w:sz w:val="24"/>
          <w:szCs w:val="24"/>
          <w:highlight w:val="none"/>
          <w:lang w:val="zh-CN"/>
        </w:rPr>
        <w:t>投标（响应）报价低于采购项目最高限价45%的，即投标（响应）报价&lt;采购项目最高限价×45%；</w:t>
      </w:r>
    </w:p>
    <w:p w14:paraId="5A46D5BF">
      <w:pPr>
        <w:spacing w:line="440" w:lineRule="exact"/>
        <w:ind w:firstLine="361"/>
        <w:rPr>
          <w:rFonts w:hint="default" w:ascii="宋体" w:hAnsi="宋体" w:eastAsia="宋体" w:cs="Times New Roman"/>
          <w:b/>
          <w:color w:val="auto"/>
          <w:kern w:val="0"/>
          <w:sz w:val="24"/>
          <w:szCs w:val="24"/>
          <w:highlight w:val="none"/>
          <w:lang w:val="zh-CN"/>
        </w:rPr>
      </w:pPr>
      <w:r>
        <w:rPr>
          <w:rFonts w:hint="eastAsia" w:ascii="宋体" w:hAnsi="宋体" w:eastAsia="宋体" w:cs="Times New Roman"/>
          <w:b/>
          <w:color w:val="auto"/>
          <w:kern w:val="0"/>
          <w:sz w:val="24"/>
          <w:szCs w:val="24"/>
          <w:highlight w:val="none"/>
          <w:lang w:val="zh-CN"/>
        </w:rPr>
        <w:t>（</w:t>
      </w:r>
      <w:r>
        <w:rPr>
          <w:rFonts w:hint="eastAsia" w:ascii="宋体" w:hAnsi="宋体" w:eastAsia="宋体" w:cs="Times New Roman"/>
          <w:b/>
          <w:color w:val="auto"/>
          <w:kern w:val="0"/>
          <w:sz w:val="24"/>
          <w:szCs w:val="24"/>
          <w:highlight w:val="none"/>
          <w:lang w:val="en-US" w:eastAsia="zh-CN"/>
        </w:rPr>
        <w:t>3</w:t>
      </w:r>
      <w:r>
        <w:rPr>
          <w:rFonts w:hint="eastAsia" w:ascii="宋体" w:hAnsi="宋体" w:eastAsia="宋体" w:cs="Times New Roman"/>
          <w:b/>
          <w:color w:val="auto"/>
          <w:kern w:val="0"/>
          <w:sz w:val="24"/>
          <w:szCs w:val="24"/>
          <w:highlight w:val="none"/>
          <w:lang w:val="zh-CN"/>
        </w:rPr>
        <w:t>）</w:t>
      </w:r>
      <w:r>
        <w:rPr>
          <w:rFonts w:hint="default" w:ascii="宋体" w:hAnsi="宋体" w:eastAsia="宋体" w:cs="Times New Roman"/>
          <w:b/>
          <w:color w:val="auto"/>
          <w:kern w:val="0"/>
          <w:sz w:val="24"/>
          <w:szCs w:val="24"/>
          <w:highlight w:val="none"/>
          <w:lang w:val="zh-CN"/>
        </w:rPr>
        <w:t>评审委员会认定的供应商报价过低、有可能影响产品质量或者不能诚信履约的其他情形。</w:t>
      </w:r>
    </w:p>
    <w:p w14:paraId="2FF1F7BD">
      <w:pPr>
        <w:autoSpaceDE w:val="0"/>
        <w:autoSpaceDN w:val="0"/>
        <w:adjustRightInd w:val="0"/>
        <w:spacing w:line="360" w:lineRule="auto"/>
        <w:ind w:firstLine="482" w:firstLineChars="200"/>
        <w:jc w:val="left"/>
        <w:rPr>
          <w:rFonts w:hint="default" w:ascii="宋体" w:hAnsi="宋体" w:eastAsia="宋体" w:cs="Times New Roman"/>
          <w:b/>
          <w:color w:val="auto"/>
          <w:kern w:val="0"/>
          <w:sz w:val="24"/>
          <w:szCs w:val="24"/>
          <w:highlight w:val="none"/>
          <w:lang w:val="zh-CN"/>
        </w:rPr>
      </w:pPr>
      <w:r>
        <w:rPr>
          <w:rFonts w:hint="eastAsia" w:ascii="宋体" w:hAnsi="宋体" w:eastAsia="宋体" w:cs="Times New Roman"/>
          <w:b/>
          <w:color w:val="auto"/>
          <w:kern w:val="0"/>
          <w:sz w:val="24"/>
          <w:szCs w:val="24"/>
          <w:highlight w:val="none"/>
          <w:lang w:val="en-US" w:eastAsia="zh-CN"/>
        </w:rPr>
        <w:t>26.7.2</w:t>
      </w:r>
      <w:r>
        <w:rPr>
          <w:rFonts w:hint="default" w:ascii="宋体" w:hAnsi="宋体" w:eastAsia="宋体" w:cs="Times New Roman"/>
          <w:b/>
          <w:color w:val="auto"/>
          <w:kern w:val="0"/>
          <w:sz w:val="24"/>
          <w:szCs w:val="24"/>
          <w:highlight w:val="none"/>
          <w:lang w:val="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1045ED4">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.8</w:t>
      </w:r>
      <w:r>
        <w:rPr>
          <w:rFonts w:hint="eastAsia" w:ascii="宋体" w:hAnsi="宋体"/>
          <w:color w:val="auto"/>
          <w:sz w:val="24"/>
          <w:szCs w:val="24"/>
          <w:highlight w:val="none"/>
        </w:rPr>
        <w:t>对不同文字文本投标文件的解释发生异议的，以中文文本为准；</w:t>
      </w:r>
    </w:p>
    <w:p w14:paraId="7FAB6462">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26.9</w:t>
      </w:r>
      <w:r>
        <w:rPr>
          <w:rFonts w:ascii="宋体" w:hAnsi="宋体"/>
          <w:color w:val="auto"/>
          <w:sz w:val="24"/>
          <w:highlight w:val="none"/>
          <w:lang w:val="zh-CN"/>
        </w:rPr>
        <w:t>评标委员会</w:t>
      </w:r>
      <w:r>
        <w:rPr>
          <w:rFonts w:hint="eastAsia" w:ascii="宋体" w:hAnsi="宋体"/>
          <w:color w:val="auto"/>
          <w:sz w:val="24"/>
          <w:szCs w:val="24"/>
          <w:highlight w:val="none"/>
        </w:rPr>
        <w:t>对投标文件的判定，只依据投标内容本身，不依靠开标后的任何外来证明。</w:t>
      </w:r>
    </w:p>
    <w:p w14:paraId="4E4B1189">
      <w:pPr>
        <w:autoSpaceDE w:val="0"/>
        <w:autoSpaceDN w:val="0"/>
        <w:adjustRightIn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26.10</w:t>
      </w:r>
      <w:r>
        <w:rPr>
          <w:rFonts w:ascii="宋体" w:hAnsi="宋体"/>
          <w:color w:val="auto"/>
          <w:sz w:val="24"/>
          <w:highlight w:val="none"/>
          <w:lang w:val="zh-CN"/>
        </w:rPr>
        <w:t>评标委员会</w:t>
      </w:r>
      <w:r>
        <w:rPr>
          <w:rFonts w:hint="eastAsia" w:ascii="宋体" w:hAnsi="宋体"/>
          <w:color w:val="auto"/>
          <w:sz w:val="24"/>
          <w:szCs w:val="24"/>
          <w:highlight w:val="none"/>
        </w:rPr>
        <w:t>将拒绝被确定为非实质性响应的投标，投标人不能通过修正或撤销不符之处而使其投标成为实质性响应的投标。</w:t>
      </w:r>
    </w:p>
    <w:p w14:paraId="4023FD18">
      <w:pPr>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27.投标的澄清</w:t>
      </w:r>
    </w:p>
    <w:p w14:paraId="4A7DDF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27.1在投标文件中含有不明确、同类问题表述不一致或者有明显文字和计算错误的内容，评标委员会应当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p>
    <w:p w14:paraId="1EAA7988">
      <w:pPr>
        <w:spacing w:line="440" w:lineRule="exact"/>
        <w:rPr>
          <w:rFonts w:ascii="宋体" w:hAnsi="宋体"/>
          <w:b/>
          <w:color w:val="auto"/>
          <w:sz w:val="24"/>
          <w:szCs w:val="24"/>
          <w:highlight w:val="none"/>
        </w:rPr>
      </w:pPr>
      <w:r>
        <w:rPr>
          <w:rFonts w:hint="eastAsia" w:ascii="宋体" w:hAnsi="宋体"/>
          <w:b/>
          <w:color w:val="auto"/>
          <w:sz w:val="24"/>
          <w:szCs w:val="24"/>
          <w:highlight w:val="none"/>
        </w:rPr>
        <w:t>28.无效投标和废标</w:t>
      </w:r>
    </w:p>
    <w:p w14:paraId="1696DA0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28.1无效投标的具体情形有：  </w:t>
      </w:r>
    </w:p>
    <w:p w14:paraId="569A8C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28.1.1投标文件未按招标文件要求签署、盖章或电子签章的；</w:t>
      </w:r>
    </w:p>
    <w:p w14:paraId="148CE0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28.1.2不具备招标文件中规定的资格要求的；</w:t>
      </w:r>
    </w:p>
    <w:p w14:paraId="53F4443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color w:val="auto"/>
          <w:sz w:val="24"/>
          <w:szCs w:val="24"/>
          <w:highlight w:val="none"/>
        </w:rPr>
        <w:t>28.1.3报价超过招标文件中规定的预算金额或者最高限价的；</w:t>
      </w:r>
    </w:p>
    <w:p w14:paraId="66D794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b w:val="0"/>
          <w:bCs w:val="0"/>
          <w:color w:val="auto"/>
          <w:sz w:val="24"/>
          <w:szCs w:val="24"/>
          <w:highlight w:val="none"/>
        </w:rPr>
      </w:pPr>
      <w:r>
        <w:rPr>
          <w:rFonts w:hint="eastAsia" w:ascii="宋体" w:hAnsi="宋体"/>
          <w:b w:val="0"/>
          <w:bCs w:val="0"/>
          <w:color w:val="auto"/>
          <w:sz w:val="24"/>
          <w:szCs w:val="24"/>
          <w:highlight w:val="none"/>
        </w:rPr>
        <w:t>28.1.4不同投标人的投标文件使用同一台电脑编制的；</w:t>
      </w:r>
    </w:p>
    <w:p w14:paraId="7CC911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28.1.5投标文件含有采购人不能接受的附加条件的；</w:t>
      </w:r>
    </w:p>
    <w:p w14:paraId="74D9435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28.1.6法律、法规和招标文件规定的其他无效情形。</w:t>
      </w:r>
    </w:p>
    <w:p w14:paraId="398BAC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28.2 在招标采购中，出现下列情形之一的，应予废标：</w:t>
      </w:r>
    </w:p>
    <w:p w14:paraId="41F8B97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28.2.1符合专业条件的供应商或者对招标文件作实质响应的供应商不足三家的；</w:t>
      </w:r>
    </w:p>
    <w:p w14:paraId="789EE3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28.2.2出现影响采购公正的违法、违规行为的；</w:t>
      </w:r>
    </w:p>
    <w:p w14:paraId="481E72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28.2.3投标人的报价均超过了采购预算，采购人不能支付的；</w:t>
      </w:r>
    </w:p>
    <w:p w14:paraId="6431CF5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28.2.4因重大变故，采购任务取消的。</w:t>
      </w:r>
    </w:p>
    <w:p w14:paraId="03D116D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b/>
          <w:color w:val="auto"/>
          <w:sz w:val="24"/>
          <w:szCs w:val="24"/>
          <w:highlight w:val="none"/>
        </w:rPr>
      </w:pPr>
      <w:r>
        <w:rPr>
          <w:rFonts w:hint="eastAsia" w:ascii="宋体" w:hAnsi="宋体"/>
          <w:color w:val="auto"/>
          <w:sz w:val="24"/>
          <w:szCs w:val="24"/>
          <w:highlight w:val="none"/>
        </w:rPr>
        <w:t>28.3 废标后，采购人应当将废标理由通知所有投标人。</w:t>
      </w:r>
    </w:p>
    <w:p w14:paraId="58BCF393">
      <w:pPr>
        <w:spacing w:line="440" w:lineRule="exact"/>
        <w:rPr>
          <w:rFonts w:ascii="宋体" w:hAnsi="宋体"/>
          <w:b/>
          <w:color w:val="auto"/>
          <w:sz w:val="24"/>
          <w:szCs w:val="24"/>
          <w:highlight w:val="none"/>
        </w:rPr>
      </w:pPr>
      <w:r>
        <w:rPr>
          <w:rFonts w:hint="eastAsia" w:ascii="宋体" w:hAnsi="宋体"/>
          <w:b/>
          <w:color w:val="auto"/>
          <w:sz w:val="24"/>
          <w:szCs w:val="24"/>
          <w:highlight w:val="none"/>
        </w:rPr>
        <w:t>29. 投标文件的评价和比较</w:t>
      </w:r>
    </w:p>
    <w:p w14:paraId="0BAD54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29.1评标委员会按招标文件规定的评标方法和标准，仅对资格性检查和符合性检查合格的投标文件进行商务和技术评估，综合比较与评价。</w:t>
      </w:r>
    </w:p>
    <w:p w14:paraId="11E5A5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29.2评价和比较采用综合评分法，评标委员会严格按照招标文件的要求、条件、评分标准，对</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 xml:space="preserve">所提供货物和服务的先进性、可靠性、售后服务承诺、质量保证承诺等实质性响应内容进行比较报价，同时考虑以下因素：    </w:t>
      </w:r>
    </w:p>
    <w:p w14:paraId="2F1EED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29.2.1</w:t>
      </w:r>
      <w:r>
        <w:rPr>
          <w:rFonts w:ascii="宋体" w:hAnsi="宋体"/>
          <w:color w:val="auto"/>
          <w:sz w:val="24"/>
          <w:szCs w:val="24"/>
          <w:highlight w:val="none"/>
        </w:rPr>
        <w:t>服务的质量保证（保障）内容</w:t>
      </w:r>
      <w:r>
        <w:rPr>
          <w:rFonts w:hint="eastAsia" w:ascii="宋体" w:hAnsi="宋体"/>
          <w:color w:val="auto"/>
          <w:sz w:val="24"/>
          <w:szCs w:val="24"/>
          <w:highlight w:val="none"/>
        </w:rPr>
        <w:t>；</w:t>
      </w:r>
    </w:p>
    <w:p w14:paraId="0B2B10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29.2.2</w:t>
      </w:r>
      <w:r>
        <w:rPr>
          <w:rFonts w:ascii="宋体" w:hAnsi="宋体"/>
          <w:color w:val="auto"/>
          <w:sz w:val="24"/>
          <w:szCs w:val="24"/>
          <w:highlight w:val="none"/>
        </w:rPr>
        <w:t>服务配备的人员；</w:t>
      </w:r>
    </w:p>
    <w:p w14:paraId="09D06A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29.2.3投标者的资信情况和履约能力；</w:t>
      </w:r>
    </w:p>
    <w:p w14:paraId="093B5A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29.2.4投标者提供的其他优惠条件；</w:t>
      </w:r>
    </w:p>
    <w:p w14:paraId="747D95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29.2.5参与本项目政府采购工作的态度及信誉；</w:t>
      </w:r>
    </w:p>
    <w:p w14:paraId="5E9D47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29.2.6</w:t>
      </w:r>
      <w:r>
        <w:rPr>
          <w:rFonts w:ascii="宋体" w:hAnsi="宋体"/>
          <w:color w:val="auto"/>
          <w:sz w:val="24"/>
          <w:szCs w:val="24"/>
          <w:highlight w:val="none"/>
        </w:rPr>
        <w:t>最低的投标报价或最高的折扣比例是中标的重要条件，但不是唯一条件。</w:t>
      </w:r>
    </w:p>
    <w:p w14:paraId="618B0953">
      <w:pPr>
        <w:spacing w:line="440" w:lineRule="exact"/>
        <w:rPr>
          <w:rFonts w:ascii="宋体" w:hAnsi="宋体"/>
          <w:b/>
          <w:color w:val="auto"/>
          <w:sz w:val="24"/>
          <w:szCs w:val="24"/>
          <w:highlight w:val="none"/>
        </w:rPr>
      </w:pPr>
      <w:r>
        <w:rPr>
          <w:rFonts w:hint="eastAsia" w:ascii="宋体" w:hAnsi="宋体"/>
          <w:b/>
          <w:color w:val="auto"/>
          <w:sz w:val="24"/>
          <w:szCs w:val="24"/>
          <w:highlight w:val="none"/>
        </w:rPr>
        <w:t>七、授予合同</w:t>
      </w:r>
    </w:p>
    <w:p w14:paraId="2CB78FB7">
      <w:pPr>
        <w:spacing w:line="440" w:lineRule="exact"/>
        <w:rPr>
          <w:rFonts w:ascii="宋体" w:hAnsi="宋体"/>
          <w:b/>
          <w:color w:val="auto"/>
          <w:sz w:val="24"/>
          <w:szCs w:val="24"/>
          <w:highlight w:val="none"/>
        </w:rPr>
      </w:pPr>
      <w:r>
        <w:rPr>
          <w:rFonts w:hint="eastAsia" w:ascii="宋体" w:hAnsi="宋体"/>
          <w:b/>
          <w:color w:val="auto"/>
          <w:sz w:val="24"/>
          <w:szCs w:val="24"/>
          <w:highlight w:val="none"/>
        </w:rPr>
        <w:t>30. 中标供应商的确认</w:t>
      </w:r>
    </w:p>
    <w:p w14:paraId="4AADCF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30.1评标委员会按招标文件规定的评标方法和标准进行详细评审后，按采购代理机构的委托向采购代理机构推荐中标候选单位或根据采购人授权直接确定中标供应商。</w:t>
      </w:r>
    </w:p>
    <w:p w14:paraId="24BF722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30.2经评标委员会评审并确定中标供应商后，采购代理机构将在规定的时间内将中标结果在相关媒体上予以公告。</w:t>
      </w:r>
    </w:p>
    <w:p w14:paraId="142485E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30.3各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如对公告结果有异议，应在中标公告期届满起七个工作日内，以书面形式向采购代理机构提出质疑，</w:t>
      </w:r>
      <w:r>
        <w:rPr>
          <w:rFonts w:ascii="宋体" w:hAnsi="宋体"/>
          <w:color w:val="auto"/>
          <w:sz w:val="24"/>
          <w:szCs w:val="24"/>
          <w:highlight w:val="none"/>
        </w:rPr>
        <w:t>该质疑</w:t>
      </w:r>
      <w:r>
        <w:rPr>
          <w:rFonts w:hint="eastAsia" w:ascii="宋体" w:hAnsi="宋体"/>
          <w:color w:val="auto"/>
          <w:sz w:val="24"/>
          <w:szCs w:val="24"/>
          <w:highlight w:val="none"/>
        </w:rPr>
        <w:t>须按《政府采购质疑和投诉办法》、《江苏省政府采购供应商监督管理暂行办法》的规定提交。采购代理机构将在收到经</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法定代表人或参加投标的代理人签署的书面质疑后七个工作日内，对质疑内容作出答复。在此期限</w:t>
      </w:r>
      <w:r>
        <w:rPr>
          <w:rFonts w:ascii="宋体" w:hAnsi="宋体"/>
          <w:color w:val="auto"/>
          <w:sz w:val="24"/>
          <w:szCs w:val="24"/>
          <w:highlight w:val="none"/>
        </w:rPr>
        <w:t>后向采购代理机构提出质疑或质疑未经投标人法定代表人或参加投标的</w:t>
      </w:r>
      <w:r>
        <w:rPr>
          <w:rFonts w:hint="eastAsia" w:ascii="宋体" w:hAnsi="宋体"/>
          <w:color w:val="auto"/>
          <w:sz w:val="24"/>
          <w:szCs w:val="24"/>
          <w:highlight w:val="none"/>
        </w:rPr>
        <w:t>代理人</w:t>
      </w:r>
      <w:r>
        <w:rPr>
          <w:rFonts w:ascii="宋体" w:hAnsi="宋体"/>
          <w:color w:val="auto"/>
          <w:sz w:val="24"/>
          <w:szCs w:val="24"/>
          <w:highlight w:val="none"/>
        </w:rPr>
        <w:t>签署和盖公章（原件），</w:t>
      </w:r>
      <w:r>
        <w:rPr>
          <w:rFonts w:hint="eastAsia" w:ascii="宋体" w:hAnsi="宋体"/>
          <w:color w:val="auto"/>
          <w:sz w:val="24"/>
          <w:szCs w:val="24"/>
          <w:highlight w:val="none"/>
        </w:rPr>
        <w:t>采购代理机构有权对该质疑不予答复。</w:t>
      </w:r>
    </w:p>
    <w:p w14:paraId="3DCAFEF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30.4质疑函递交地点及联系方式详见公告内容</w:t>
      </w:r>
    </w:p>
    <w:p w14:paraId="6462164C">
      <w:pPr>
        <w:spacing w:line="440" w:lineRule="exact"/>
        <w:rPr>
          <w:rFonts w:ascii="宋体" w:hAnsi="宋体"/>
          <w:b/>
          <w:color w:val="auto"/>
          <w:sz w:val="24"/>
          <w:szCs w:val="24"/>
          <w:highlight w:val="none"/>
        </w:rPr>
      </w:pPr>
      <w:r>
        <w:rPr>
          <w:rFonts w:hint="eastAsia" w:ascii="宋体" w:hAnsi="宋体"/>
          <w:b/>
          <w:color w:val="auto"/>
          <w:sz w:val="24"/>
          <w:szCs w:val="24"/>
          <w:highlight w:val="none"/>
        </w:rPr>
        <w:t>31. 合同授予标准</w:t>
      </w:r>
    </w:p>
    <w:p w14:paraId="0770CD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31.1采购代理机构将把合同授予其投标文件在实质上响应招标文件要求和按本须知规定评选出的投标人。确定为中标的投标人必须具有实施本合同的能力和资源。</w:t>
      </w:r>
    </w:p>
    <w:p w14:paraId="51A1D4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b/>
          <w:color w:val="auto"/>
          <w:sz w:val="24"/>
          <w:szCs w:val="24"/>
          <w:highlight w:val="none"/>
        </w:rPr>
      </w:pPr>
      <w:r>
        <w:rPr>
          <w:rFonts w:hint="eastAsia" w:ascii="宋体" w:hAnsi="宋体"/>
          <w:color w:val="auto"/>
          <w:sz w:val="24"/>
          <w:szCs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715B9591">
      <w:pPr>
        <w:spacing w:line="440" w:lineRule="exact"/>
        <w:rPr>
          <w:rFonts w:ascii="宋体" w:hAnsi="宋体"/>
          <w:b/>
          <w:color w:val="auto"/>
          <w:sz w:val="24"/>
          <w:szCs w:val="24"/>
          <w:highlight w:val="none"/>
        </w:rPr>
      </w:pPr>
      <w:r>
        <w:rPr>
          <w:rFonts w:hint="eastAsia" w:ascii="宋体" w:hAnsi="宋体"/>
          <w:b/>
          <w:color w:val="auto"/>
          <w:sz w:val="24"/>
          <w:szCs w:val="24"/>
          <w:highlight w:val="none"/>
        </w:rPr>
        <w:t>32. 中标通知书</w:t>
      </w:r>
    </w:p>
    <w:p w14:paraId="3DABBF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4692B9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b w:val="0"/>
          <w:bCs/>
          <w:color w:val="auto"/>
          <w:sz w:val="24"/>
          <w:szCs w:val="24"/>
          <w:highlight w:val="none"/>
        </w:rPr>
      </w:pPr>
      <w:r>
        <w:rPr>
          <w:rFonts w:hint="eastAsia" w:ascii="宋体" w:hAnsi="宋体"/>
          <w:b w:val="0"/>
          <w:bCs/>
          <w:color w:val="auto"/>
          <w:sz w:val="24"/>
          <w:szCs w:val="24"/>
          <w:highlight w:val="none"/>
        </w:rPr>
        <w:t>32.2中标通知书在中标公告发布后将发布在业务系统中，中标通知书发布之日视为中标供应商领取之日，中标供应商自行在业务系统中下载打印。</w:t>
      </w:r>
    </w:p>
    <w:p w14:paraId="18DCC473">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default" w:ascii="宋体" w:hAnsi="宋体" w:eastAsia="宋体" w:cs="宋体"/>
          <w:b/>
          <w:color w:val="auto"/>
          <w:kern w:val="0"/>
          <w:sz w:val="24"/>
          <w:szCs w:val="22"/>
          <w:highlight w:val="none"/>
          <w:lang w:eastAsia="zh-CN"/>
        </w:rPr>
        <w:t>32.3</w:t>
      </w:r>
      <w:r>
        <w:rPr>
          <w:rFonts w:hint="eastAsia" w:ascii="宋体" w:hAnsi="宋体" w:eastAsia="宋体" w:cs="宋体"/>
          <w:color w:val="auto"/>
          <w:kern w:val="0"/>
          <w:sz w:val="24"/>
          <w:szCs w:val="22"/>
          <w:highlight w:val="none"/>
          <w:lang w:eastAsia="zh-CN"/>
        </w:rPr>
        <w:t>因系统存储空间有限，自中标结果公告届满之日起30日后，“苏采云”系统不再保证提供下载中标通知书服务,因未及时下载而造成的不利后果由中标供应商自行承担。</w:t>
      </w:r>
    </w:p>
    <w:p w14:paraId="0D14571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中标通知书将成为合同的组成部分。</w:t>
      </w:r>
    </w:p>
    <w:p w14:paraId="12FBAB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采购代理机构对未中标供应商不承担解释未中标原因的义务。</w:t>
      </w:r>
    </w:p>
    <w:p w14:paraId="603CE9D7">
      <w:pPr>
        <w:spacing w:line="440" w:lineRule="exact"/>
        <w:rPr>
          <w:rFonts w:ascii="宋体" w:hAnsi="宋体"/>
          <w:b/>
          <w:color w:val="auto"/>
          <w:sz w:val="24"/>
          <w:szCs w:val="24"/>
          <w:highlight w:val="none"/>
        </w:rPr>
      </w:pPr>
      <w:r>
        <w:rPr>
          <w:rFonts w:hint="eastAsia" w:ascii="宋体" w:hAnsi="宋体"/>
          <w:b/>
          <w:color w:val="auto"/>
          <w:sz w:val="24"/>
          <w:szCs w:val="24"/>
          <w:highlight w:val="none"/>
        </w:rPr>
        <w:t>33.履约保证金</w:t>
      </w:r>
    </w:p>
    <w:p w14:paraId="195998FF">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本项目无需提交履约保证金。</w:t>
      </w:r>
    </w:p>
    <w:p w14:paraId="537A953F">
      <w:pPr>
        <w:spacing w:line="440" w:lineRule="exact"/>
        <w:rPr>
          <w:rFonts w:ascii="宋体" w:hAnsi="宋体"/>
          <w:b/>
          <w:color w:val="auto"/>
          <w:sz w:val="24"/>
          <w:szCs w:val="24"/>
          <w:highlight w:val="none"/>
        </w:rPr>
      </w:pPr>
      <w:r>
        <w:rPr>
          <w:rFonts w:hint="eastAsia" w:ascii="宋体" w:hAnsi="宋体"/>
          <w:b/>
          <w:color w:val="auto"/>
          <w:sz w:val="24"/>
          <w:szCs w:val="24"/>
          <w:highlight w:val="none"/>
        </w:rPr>
        <w:t>34. 合同的签订</w:t>
      </w:r>
    </w:p>
    <w:p w14:paraId="2ED6F72D">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12FFBB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34.</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中标供应商应按中标通知书中规定的时间和地点，</w:t>
      </w:r>
      <w:r>
        <w:rPr>
          <w:rFonts w:hint="eastAsia" w:ascii="宋体" w:hAnsi="宋体"/>
          <w:color w:val="auto"/>
          <w:sz w:val="24"/>
          <w:highlight w:val="none"/>
        </w:rPr>
        <w:t>按照招标文件确定的事项</w:t>
      </w:r>
      <w:r>
        <w:rPr>
          <w:rFonts w:hint="eastAsia" w:ascii="宋体" w:hAnsi="宋体"/>
          <w:color w:val="auto"/>
          <w:sz w:val="24"/>
          <w:szCs w:val="24"/>
          <w:highlight w:val="none"/>
        </w:rPr>
        <w:t>由法定代表人或代理人与采购人代表签订合同，</w:t>
      </w:r>
      <w:r>
        <w:rPr>
          <w:rFonts w:hint="eastAsia" w:ascii="宋体" w:hAnsi="宋体"/>
          <w:color w:val="auto"/>
          <w:sz w:val="24"/>
          <w:highlight w:val="none"/>
        </w:rPr>
        <w:t>且不得迟于中标通知书发出之日起三十日内，</w:t>
      </w:r>
      <w:r>
        <w:rPr>
          <w:rFonts w:hint="eastAsia" w:ascii="宋体" w:hAnsi="宋体"/>
          <w:color w:val="auto"/>
          <w:sz w:val="24"/>
          <w:szCs w:val="24"/>
          <w:highlight w:val="none"/>
        </w:rPr>
        <w:t>否则按放弃中标权处理。</w:t>
      </w:r>
    </w:p>
    <w:p w14:paraId="7C47E2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34.</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签订合同及合同条款应以招标文件和中标供应商的投标文件及其澄清文件为依据。</w:t>
      </w:r>
    </w:p>
    <w:p w14:paraId="3444D1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34.</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中标单位</w:t>
      </w:r>
      <w:r>
        <w:rPr>
          <w:rFonts w:hint="eastAsia" w:ascii="宋体" w:hAnsi="宋体"/>
          <w:color w:val="auto"/>
          <w:sz w:val="24"/>
          <w:szCs w:val="24"/>
          <w:highlight w:val="none"/>
        </w:rPr>
        <w:t>无正当理由拒签合同的，或在签订合同时向采购人提出附加条件或者更改合同实质性内容的，采购人可取消其中标资格，同时由</w:t>
      </w:r>
      <w:r>
        <w:rPr>
          <w:rFonts w:hint="eastAsia" w:ascii="宋体" w:hAnsi="宋体"/>
          <w:color w:val="auto"/>
          <w:sz w:val="24"/>
          <w:szCs w:val="24"/>
          <w:highlight w:val="none"/>
          <w:lang w:eastAsia="zh-CN"/>
        </w:rPr>
        <w:t>中标单位</w:t>
      </w:r>
      <w:r>
        <w:rPr>
          <w:rFonts w:hint="eastAsia" w:ascii="宋体" w:hAnsi="宋体"/>
          <w:color w:val="auto"/>
          <w:sz w:val="24"/>
          <w:szCs w:val="24"/>
          <w:highlight w:val="none"/>
        </w:rPr>
        <w:t>承担相应的法律责任。</w:t>
      </w:r>
    </w:p>
    <w:p w14:paraId="590150D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highlight w:val="none"/>
        </w:rPr>
      </w:pPr>
      <w:r>
        <w:rPr>
          <w:rFonts w:hint="eastAsia" w:ascii="宋体" w:hAnsi="宋体" w:cs="宋体"/>
          <w:color w:val="auto"/>
          <w:sz w:val="24"/>
          <w:szCs w:val="24"/>
          <w:highlight w:val="none"/>
        </w:rPr>
        <w:t>34.</w:t>
      </w:r>
      <w:r>
        <w:rPr>
          <w:rFonts w:hint="eastAsia" w:ascii="宋体" w:hAnsi="宋体" w:cs="宋体"/>
          <w:color w:val="auto"/>
          <w:sz w:val="24"/>
          <w:szCs w:val="24"/>
          <w:highlight w:val="none"/>
          <w:lang w:val="en-US" w:eastAsia="zh-CN"/>
        </w:rPr>
        <w:t>5</w:t>
      </w:r>
      <w:r>
        <w:rPr>
          <w:rFonts w:hint="eastAsia" w:ascii="宋体" w:hAnsi="宋体" w:cs="宋体"/>
          <w:color w:val="auto"/>
          <w:sz w:val="24"/>
          <w:highlight w:val="none"/>
        </w:rPr>
        <w:t>签订合同后，</w:t>
      </w:r>
      <w:r>
        <w:rPr>
          <w:rFonts w:hint="eastAsia" w:ascii="宋体" w:hAnsi="宋体" w:cs="宋体"/>
          <w:color w:val="auto"/>
          <w:sz w:val="24"/>
          <w:highlight w:val="none"/>
          <w:u w:val="single"/>
          <w:lang w:eastAsia="zh-CN"/>
        </w:rPr>
        <w:t>中标单位</w:t>
      </w:r>
      <w:r>
        <w:rPr>
          <w:rFonts w:hint="eastAsia" w:ascii="宋体" w:hAnsi="宋体" w:cs="宋体"/>
          <w:color w:val="auto"/>
          <w:sz w:val="24"/>
          <w:highlight w:val="none"/>
          <w:u w:val="single"/>
        </w:rPr>
        <w:t>不得将货物及其他相关服务进行转包</w:t>
      </w:r>
      <w:r>
        <w:rPr>
          <w:rFonts w:hint="eastAsia" w:ascii="宋体" w:hAnsi="宋体" w:cs="宋体"/>
          <w:color w:val="auto"/>
          <w:sz w:val="24"/>
          <w:highlight w:val="none"/>
        </w:rPr>
        <w:t>。未经采购人同意，</w:t>
      </w:r>
      <w:r>
        <w:rPr>
          <w:rFonts w:hint="eastAsia" w:ascii="宋体" w:hAnsi="宋体" w:cs="宋体"/>
          <w:color w:val="auto"/>
          <w:sz w:val="24"/>
          <w:highlight w:val="none"/>
          <w:lang w:eastAsia="zh-CN"/>
        </w:rPr>
        <w:t>中标单位</w:t>
      </w:r>
      <w:r>
        <w:rPr>
          <w:rFonts w:hint="eastAsia" w:ascii="宋体" w:hAnsi="宋体" w:cs="宋体"/>
          <w:color w:val="auto"/>
          <w:sz w:val="24"/>
          <w:highlight w:val="none"/>
        </w:rPr>
        <w:t>也不得采用分包的形式履行合同，否则采购人有权终止合同。</w:t>
      </w:r>
      <w:r>
        <w:rPr>
          <w:rFonts w:hint="eastAsia" w:ascii="宋体" w:hAnsi="宋体"/>
          <w:color w:val="auto"/>
          <w:sz w:val="24"/>
          <w:szCs w:val="24"/>
          <w:highlight w:val="none"/>
        </w:rPr>
        <w:t>转包或分包造成采购人损失的，</w:t>
      </w:r>
      <w:r>
        <w:rPr>
          <w:rFonts w:hint="eastAsia" w:ascii="宋体" w:hAnsi="宋体"/>
          <w:color w:val="auto"/>
          <w:sz w:val="24"/>
          <w:szCs w:val="24"/>
          <w:highlight w:val="none"/>
          <w:lang w:eastAsia="zh-CN"/>
        </w:rPr>
        <w:t>中标单位</w:t>
      </w:r>
      <w:r>
        <w:rPr>
          <w:rFonts w:hint="eastAsia" w:ascii="宋体" w:hAnsi="宋体"/>
          <w:color w:val="auto"/>
          <w:sz w:val="24"/>
          <w:szCs w:val="24"/>
          <w:highlight w:val="none"/>
        </w:rPr>
        <w:t>应承担相应赔偿责任。</w:t>
      </w:r>
    </w:p>
    <w:p w14:paraId="5C56E936">
      <w:pPr>
        <w:spacing w:line="460" w:lineRule="exact"/>
        <w:rPr>
          <w:rFonts w:ascii="宋体" w:hAnsi="宋体" w:cs="宋体"/>
          <w:color w:val="auto"/>
          <w:kern w:val="0"/>
          <w:sz w:val="24"/>
          <w:szCs w:val="24"/>
          <w:highlight w:val="none"/>
        </w:rPr>
      </w:pPr>
      <w:r>
        <w:rPr>
          <w:rFonts w:hint="eastAsia" w:ascii="宋体" w:hAnsi="宋体"/>
          <w:b/>
          <w:color w:val="auto"/>
          <w:sz w:val="24"/>
          <w:szCs w:val="24"/>
          <w:highlight w:val="none"/>
        </w:rPr>
        <w:t>八、政府采购相关政策</w:t>
      </w:r>
    </w:p>
    <w:p w14:paraId="623E84D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35.政府采购节能产品和环境标志产品</w:t>
      </w:r>
    </w:p>
    <w:p w14:paraId="5003F0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0D2631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35.2</w:t>
      </w:r>
      <w:r>
        <w:rPr>
          <w:rFonts w:hint="eastAsia" w:ascii="宋体" w:hAnsi="宋体" w:eastAsia="宋体" w:cs="宋体"/>
          <w:color w:val="auto"/>
          <w:kern w:val="0"/>
          <w:sz w:val="24"/>
          <w:szCs w:val="22"/>
          <w:highlight w:val="none"/>
          <w:lang w:eastAsia="zh-CN"/>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0F9C5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35.3根据《关于调整优化节能产品、环境标志产品政府采购执行机制的通知》（财库〔2019〕9号）、《关于贯彻执行绿色采购、促进残疾人就业和支持监狱企业发展有关政策的通知》（苏财购〔2019〕10号）的文件规定，</w:t>
      </w:r>
      <w:r>
        <w:rPr>
          <w:rFonts w:hint="default" w:ascii="宋体" w:hAnsi="宋体" w:eastAsia="宋体" w:cs="宋体"/>
          <w:b/>
          <w:color w:val="auto"/>
          <w:kern w:val="0"/>
          <w:sz w:val="24"/>
          <w:szCs w:val="22"/>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72362FBF">
      <w:pPr>
        <w:keepNext w:val="0"/>
        <w:keepLines w:val="0"/>
        <w:pageBreakBefore w:val="0"/>
        <w:widowControl/>
        <w:numPr>
          <w:ilvl w:val="0"/>
          <w:numId w:val="1"/>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left="241" w:hanging="241" w:hangingChars="100"/>
        <w:jc w:val="left"/>
        <w:textAlignment w:val="auto"/>
        <w:rPr>
          <w:rFonts w:hint="eastAsia" w:ascii="宋体" w:hAnsi="宋体" w:eastAsia="宋体" w:cs="宋体"/>
          <w:b w:val="0"/>
          <w:bCs/>
          <w:color w:val="auto"/>
          <w:kern w:val="0"/>
          <w:sz w:val="24"/>
          <w:szCs w:val="22"/>
          <w:highlight w:val="none"/>
          <w:lang w:eastAsia="zh-CN"/>
        </w:rPr>
      </w:pPr>
      <w:r>
        <w:rPr>
          <w:rFonts w:hint="default" w:ascii="宋体" w:hAnsi="宋体" w:eastAsia="宋体" w:cs="宋体"/>
          <w:b/>
          <w:bCs/>
          <w:color w:val="auto"/>
          <w:kern w:val="0"/>
          <w:sz w:val="24"/>
          <w:szCs w:val="24"/>
          <w:highlight w:val="none"/>
          <w:lang w:eastAsia="en-US"/>
        </w:rPr>
        <w:t>中小企业相关政策：</w:t>
      </w:r>
      <w:r>
        <w:rPr>
          <w:rFonts w:hint="default" w:ascii="宋体" w:hAnsi="宋体" w:eastAsia="宋体" w:cs="宋体"/>
          <w:color w:val="auto"/>
          <w:kern w:val="0"/>
          <w:sz w:val="24"/>
          <w:szCs w:val="24"/>
          <w:highlight w:val="none"/>
          <w:lang w:eastAsia="en-US"/>
        </w:rPr>
        <w:br w:type="textWrapping"/>
      </w:r>
      <w:r>
        <w:rPr>
          <w:rFonts w:hint="eastAsia" w:ascii="宋体" w:hAnsi="宋体" w:eastAsia="宋体" w:cs="宋体"/>
          <w:b w:val="0"/>
          <w:bCs/>
          <w:color w:val="auto"/>
          <w:kern w:val="0"/>
          <w:sz w:val="24"/>
          <w:szCs w:val="22"/>
          <w:highlight w:val="none"/>
          <w:lang w:eastAsia="zh-CN"/>
        </w:rPr>
        <w:t>36.1本项目专门面向中小企业采购，执行以下相关政策：</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根据《政府采购促进中小企业发展管理办法》（财库﹝2020﹞46号）规定，第二条 本</w:t>
      </w:r>
    </w:p>
    <w:p w14:paraId="6E451D5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leftChars="-100"/>
        <w:jc w:val="left"/>
        <w:textAlignment w:val="auto"/>
        <w:rPr>
          <w:rFonts w:hint="eastAsia" w:ascii="宋体" w:hAnsi="宋体" w:eastAsia="宋体" w:cs="宋体"/>
          <w:b w:val="0"/>
          <w:bCs/>
          <w:color w:val="auto"/>
          <w:kern w:val="0"/>
          <w:sz w:val="24"/>
          <w:szCs w:val="22"/>
          <w:highlight w:val="none"/>
          <w:lang w:eastAsia="zh-CN"/>
        </w:rPr>
      </w:pPr>
      <w:r>
        <w:rPr>
          <w:rFonts w:hint="eastAsia" w:ascii="宋体" w:hAnsi="宋体" w:eastAsia="宋体" w:cs="宋体"/>
          <w:b w:val="0"/>
          <w:bCs/>
          <w:color w:val="auto"/>
          <w:kern w:val="0"/>
          <w:sz w:val="24"/>
          <w:szCs w:val="22"/>
          <w:highlight w:val="none"/>
          <w:lang w:eastAsia="zh-CN"/>
        </w:rPr>
        <w:t>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36.1.1中小企业划分：</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（1）符合中小企业划分标准的个体工商户，在政府采购活动中视同中小企业。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（2）中小企业划分标准详见“工信部联企业〔2011〕300号通知”</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36.1.2残疾人福利性单位政策：</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36.1.3监狱企业发展政策：</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36.1.4、中标、成交供应商享受规定的中小企业扶持政策的，其声明函及相关证明材料应当随中标、成交结果同时公告，接受社会监督。</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36.1.5、专门面向中小企业采购的项目，不再执行价格评审优惠的扶持政策。</w:t>
      </w:r>
    </w:p>
    <w:p w14:paraId="5F63415A">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eastAsia" w:ascii="宋体" w:hAnsi="宋体" w:eastAsia="宋体" w:cs="宋体"/>
          <w:b/>
          <w:color w:val="auto"/>
          <w:kern w:val="0"/>
          <w:sz w:val="24"/>
          <w:szCs w:val="22"/>
          <w:highlight w:val="none"/>
          <w:lang w:eastAsia="zh-CN"/>
        </w:rPr>
      </w:pPr>
      <w:r>
        <w:rPr>
          <w:rFonts w:hint="default" w:ascii="宋体" w:hAnsi="宋体" w:eastAsia="宋体" w:cs="宋体"/>
          <w:b/>
          <w:color w:val="auto"/>
          <w:kern w:val="0"/>
          <w:sz w:val="24"/>
          <w:szCs w:val="22"/>
          <w:highlight w:val="none"/>
          <w:lang w:eastAsia="zh-CN"/>
        </w:rPr>
        <w:t>37.绿色数据中心政策</w:t>
      </w:r>
    </w:p>
    <w:p w14:paraId="34C0FD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宋体" w:cs="宋体"/>
          <w:b/>
          <w:color w:val="auto"/>
          <w:kern w:val="0"/>
          <w:sz w:val="24"/>
          <w:szCs w:val="22"/>
          <w:highlight w:val="none"/>
          <w:lang w:eastAsia="zh-CN"/>
        </w:rPr>
      </w:pPr>
      <w:r>
        <w:rPr>
          <w:rFonts w:hint="default" w:ascii="宋体" w:hAnsi="宋体" w:eastAsia="宋体" w:cs="Arial"/>
          <w:color w:val="auto"/>
          <w:kern w:val="0"/>
          <w:sz w:val="24"/>
          <w:szCs w:val="22"/>
          <w:highlight w:val="none"/>
          <w:lang w:eastAsia="zh-CN"/>
        </w:rPr>
        <w:t xml:space="preserve">37.1 </w:t>
      </w:r>
      <w:r>
        <w:rPr>
          <w:rFonts w:hint="eastAsia" w:ascii="宋体" w:hAnsi="宋体" w:eastAsia="Arial" w:cs="Arial"/>
          <w:color w:val="auto"/>
          <w:kern w:val="0"/>
          <w:sz w:val="24"/>
          <w:szCs w:val="22"/>
          <w:highlight w:val="none"/>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5858B5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eastAsia" w:ascii="宋体" w:hAnsi="宋体" w:eastAsia="宋体" w:cs="宋体"/>
          <w:b/>
          <w:color w:val="auto"/>
          <w:kern w:val="0"/>
          <w:sz w:val="24"/>
          <w:szCs w:val="22"/>
          <w:highlight w:val="none"/>
          <w:lang w:eastAsia="zh-CN"/>
        </w:rPr>
      </w:pPr>
      <w:r>
        <w:rPr>
          <w:rFonts w:hint="default" w:ascii="宋体" w:hAnsi="宋体" w:eastAsia="宋体" w:cs="宋体"/>
          <w:b/>
          <w:color w:val="auto"/>
          <w:kern w:val="0"/>
          <w:sz w:val="24"/>
          <w:szCs w:val="22"/>
          <w:highlight w:val="none"/>
          <w:lang w:eastAsia="zh-CN"/>
        </w:rPr>
        <w:t>38.商品包装、快递包装政策</w:t>
      </w:r>
    </w:p>
    <w:p w14:paraId="2C6C31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宋体" w:cs="宋体"/>
          <w:b/>
          <w:color w:val="auto"/>
          <w:kern w:val="0"/>
          <w:sz w:val="24"/>
          <w:szCs w:val="22"/>
          <w:highlight w:val="none"/>
          <w:lang w:eastAsia="zh-CN"/>
        </w:rPr>
      </w:pPr>
      <w:r>
        <w:rPr>
          <w:rFonts w:hint="default" w:ascii="宋体" w:hAnsi="宋体" w:eastAsia="宋体" w:cs="Arial"/>
          <w:color w:val="auto"/>
          <w:kern w:val="0"/>
          <w:sz w:val="24"/>
          <w:szCs w:val="22"/>
          <w:highlight w:val="none"/>
          <w:lang w:eastAsia="zh-CN"/>
        </w:rPr>
        <w:t xml:space="preserve">38.1 </w:t>
      </w:r>
      <w:r>
        <w:rPr>
          <w:rFonts w:hint="eastAsia" w:ascii="宋体" w:hAnsi="宋体" w:eastAsia="Arial" w:cs="Arial"/>
          <w:color w:val="auto"/>
          <w:kern w:val="0"/>
          <w:sz w:val="24"/>
          <w:szCs w:val="22"/>
          <w:highlight w:val="none"/>
          <w:lang w:eastAsia="zh-CN"/>
        </w:rPr>
        <w:t>依据</w:t>
      </w:r>
      <w:r>
        <w:rPr>
          <w:rFonts w:hint="default" w:ascii="宋体" w:hAnsi="宋体" w:eastAsia="Arial" w:cs="Arial"/>
          <w:color w:val="auto"/>
          <w:kern w:val="0"/>
          <w:sz w:val="24"/>
          <w:szCs w:val="22"/>
          <w:highlight w:val="none"/>
          <w:lang w:eastAsia="zh-CN"/>
        </w:rPr>
        <w:t>《关于印发〈商品包装政府采购需求标准（试行）〉、〈快递包装政府采购需求标准（试行）〉的通知》（财办库〔2020〕123号）</w:t>
      </w:r>
      <w:r>
        <w:rPr>
          <w:rFonts w:hint="eastAsia" w:ascii="宋体" w:hAnsi="宋体" w:eastAsia="Arial" w:cs="Arial"/>
          <w:color w:val="auto"/>
          <w:kern w:val="0"/>
          <w:sz w:val="24"/>
          <w:szCs w:val="22"/>
          <w:highlight w:val="none"/>
          <w:lang w:eastAsia="zh-CN"/>
        </w:rPr>
        <w:t>文件</w:t>
      </w:r>
      <w:r>
        <w:rPr>
          <w:rFonts w:hint="default" w:ascii="宋体" w:hAnsi="宋体" w:eastAsia="Arial" w:cs="Arial"/>
          <w:color w:val="auto"/>
          <w:kern w:val="0"/>
          <w:sz w:val="24"/>
          <w:szCs w:val="22"/>
          <w:highlight w:val="none"/>
          <w:lang w:eastAsia="zh-CN"/>
        </w:rPr>
        <w:t>精神</w:t>
      </w:r>
      <w:r>
        <w:rPr>
          <w:rFonts w:hint="eastAsia" w:ascii="宋体" w:hAnsi="宋体" w:eastAsia="Arial" w:cs="Arial"/>
          <w:color w:val="auto"/>
          <w:kern w:val="0"/>
          <w:sz w:val="24"/>
          <w:szCs w:val="22"/>
          <w:highlight w:val="none"/>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392ECF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1"/>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九、其他事项</w:t>
      </w:r>
    </w:p>
    <w:p w14:paraId="7CE985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39. 监督和公证</w:t>
      </w:r>
    </w:p>
    <w:p w14:paraId="720BE4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w:t>
      </w:r>
      <w:r>
        <w:rPr>
          <w:rFonts w:hint="eastAsia" w:ascii="宋体" w:hAnsi="宋体" w:eastAsia="宋体" w:cs="宋体"/>
          <w:color w:val="auto"/>
          <w:kern w:val="0"/>
          <w:sz w:val="24"/>
          <w:szCs w:val="22"/>
          <w:highlight w:val="none"/>
          <w:lang w:val="en-US" w:eastAsia="zh-CN"/>
        </w:rPr>
        <w:t>9</w:t>
      </w:r>
      <w:r>
        <w:rPr>
          <w:rFonts w:hint="default" w:ascii="宋体" w:hAnsi="宋体" w:eastAsia="宋体" w:cs="宋体"/>
          <w:color w:val="auto"/>
          <w:kern w:val="0"/>
          <w:sz w:val="24"/>
          <w:szCs w:val="22"/>
          <w:highlight w:val="none"/>
          <w:lang w:eastAsia="zh-CN"/>
        </w:rPr>
        <w:t>.1政府有关监督部门将对招投标全过程进行监督。</w:t>
      </w:r>
    </w:p>
    <w:p w14:paraId="2B5452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w:t>
      </w:r>
      <w:r>
        <w:rPr>
          <w:rFonts w:hint="eastAsia" w:ascii="宋体" w:hAnsi="宋体" w:eastAsia="宋体" w:cs="宋体"/>
          <w:color w:val="auto"/>
          <w:kern w:val="0"/>
          <w:sz w:val="24"/>
          <w:szCs w:val="22"/>
          <w:highlight w:val="none"/>
          <w:lang w:val="en-US" w:eastAsia="zh-CN"/>
        </w:rPr>
        <w:t>9</w:t>
      </w:r>
      <w:r>
        <w:rPr>
          <w:rFonts w:hint="default" w:ascii="宋体" w:hAnsi="宋体" w:eastAsia="宋体" w:cs="宋体"/>
          <w:color w:val="auto"/>
          <w:kern w:val="0"/>
          <w:sz w:val="24"/>
          <w:szCs w:val="22"/>
          <w:highlight w:val="none"/>
          <w:lang w:eastAsia="zh-CN"/>
        </w:rPr>
        <w:t>.2采购代理机构的招标过程将通过公证机关进行公证。</w:t>
      </w:r>
    </w:p>
    <w:p w14:paraId="1DB20E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eastAsia" w:ascii="宋体" w:hAnsi="宋体" w:eastAsia="Arial" w:cs="Arial"/>
          <w:b/>
          <w:bCs/>
          <w:color w:val="auto"/>
          <w:kern w:val="0"/>
          <w:sz w:val="24"/>
          <w:szCs w:val="22"/>
          <w:highlight w:val="none"/>
          <w:lang w:eastAsia="zh-CN"/>
        </w:rPr>
      </w:pPr>
      <w:r>
        <w:rPr>
          <w:rFonts w:hint="eastAsia" w:ascii="宋体" w:hAnsi="宋体" w:eastAsia="Arial" w:cs="Arial"/>
          <w:b/>
          <w:bCs/>
          <w:color w:val="auto"/>
          <w:kern w:val="0"/>
          <w:sz w:val="24"/>
          <w:szCs w:val="22"/>
          <w:highlight w:val="none"/>
          <w:lang w:eastAsia="zh-CN"/>
        </w:rPr>
        <w:t>40.未尽事宜</w:t>
      </w:r>
    </w:p>
    <w:p w14:paraId="506F8BC6">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b/>
          <w:bCs/>
          <w:color w:val="auto"/>
          <w:sz w:val="44"/>
          <w:szCs w:val="44"/>
          <w:highlight w:val="none"/>
        </w:rPr>
      </w:pPr>
      <w:r>
        <w:rPr>
          <w:rFonts w:hint="eastAsia" w:ascii="宋体" w:hAnsi="宋体" w:eastAsia="Arial" w:cs="Arial"/>
          <w:color w:val="auto"/>
          <w:kern w:val="0"/>
          <w:sz w:val="24"/>
          <w:szCs w:val="22"/>
          <w:highlight w:val="none"/>
          <w:lang w:eastAsia="zh-CN"/>
        </w:rPr>
        <w:t>按《中华人民共和国政府采购法》及其他有关法律法规的规定执行。</w:t>
      </w:r>
      <w:r>
        <w:rPr>
          <w:rFonts w:hint="default" w:ascii="Arial" w:hAnsi="Arial" w:eastAsia="Arial" w:cs="Arial"/>
          <w:color w:val="auto"/>
          <w:kern w:val="0"/>
          <w:sz w:val="22"/>
          <w:szCs w:val="22"/>
          <w:highlight w:val="none"/>
          <w:lang w:eastAsia="zh-CN"/>
        </w:rPr>
        <w:br w:type="page" w:clear="all"/>
      </w:r>
    </w:p>
    <w:p w14:paraId="5660C1D0">
      <w:pPr>
        <w:snapToGrid w:val="0"/>
        <w:spacing w:line="360" w:lineRule="auto"/>
        <w:ind w:firstLine="663" w:firstLineChars="150"/>
        <w:jc w:val="center"/>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第三部分 项目需求</w:t>
      </w:r>
    </w:p>
    <w:p w14:paraId="7ABB8036">
      <w:pPr>
        <w:snapToGrid w:val="0"/>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受</w:t>
      </w:r>
      <w:r>
        <w:rPr>
          <w:rFonts w:hint="eastAsia" w:ascii="宋体" w:hAnsi="宋体" w:cs="宋体"/>
          <w:color w:val="auto"/>
          <w:sz w:val="24"/>
          <w:szCs w:val="24"/>
          <w:highlight w:val="none"/>
          <w:shd w:val="clear" w:color="auto" w:fill="FFFFFF"/>
          <w:lang w:eastAsia="zh-CN" w:bidi="ar"/>
        </w:rPr>
        <w:t>太仓港经济技术开发区管理委员会</w:t>
      </w:r>
      <w:r>
        <w:rPr>
          <w:rFonts w:hint="eastAsia" w:ascii="宋体" w:hAnsi="宋体" w:cs="宋体"/>
          <w:color w:val="auto"/>
          <w:sz w:val="24"/>
          <w:szCs w:val="24"/>
          <w:highlight w:val="none"/>
        </w:rPr>
        <w:t>之委托，江苏启越工程管理有限公司作为招标代理机构，对其拟采购的</w:t>
      </w:r>
      <w:r>
        <w:rPr>
          <w:rFonts w:hint="eastAsia" w:ascii="宋体" w:hAnsi="宋体" w:cs="宋体"/>
          <w:color w:val="auto"/>
          <w:sz w:val="24"/>
          <w:szCs w:val="24"/>
          <w:highlight w:val="none"/>
          <w:lang w:eastAsia="zh-CN"/>
        </w:rPr>
        <w:t>2026年度港区建设项目环评和危废发证技术评估</w:t>
      </w:r>
      <w:r>
        <w:rPr>
          <w:rFonts w:hint="eastAsia" w:ascii="宋体" w:hAnsi="宋体" w:cs="宋体"/>
          <w:color w:val="auto"/>
          <w:sz w:val="24"/>
          <w:szCs w:val="24"/>
          <w:highlight w:val="none"/>
        </w:rPr>
        <w:t>进行国内公开招标。欢迎符合资格条件的供应商前来报名参加投标。</w:t>
      </w:r>
    </w:p>
    <w:p w14:paraId="4B0744C7">
      <w:pPr>
        <w:spacing w:line="360"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一、招标项目：</w:t>
      </w:r>
    </w:p>
    <w:p w14:paraId="66A83081">
      <w:pPr>
        <w:spacing w:line="360" w:lineRule="auto"/>
        <w:ind w:firstLine="480"/>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1、采购单位：</w:t>
      </w:r>
      <w:r>
        <w:rPr>
          <w:rFonts w:hint="eastAsia" w:ascii="宋体" w:hAnsi="宋体" w:cs="宋体"/>
          <w:color w:val="auto"/>
          <w:kern w:val="0"/>
          <w:sz w:val="24"/>
          <w:szCs w:val="24"/>
          <w:highlight w:val="none"/>
          <w:lang w:eastAsia="zh-CN"/>
        </w:rPr>
        <w:t>太仓港经济技术开发区管理委员会</w:t>
      </w:r>
    </w:p>
    <w:p w14:paraId="1E895557">
      <w:pPr>
        <w:spacing w:line="360" w:lineRule="auto"/>
        <w:ind w:firstLine="480"/>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2、项目名称：</w:t>
      </w:r>
      <w:r>
        <w:rPr>
          <w:rFonts w:hint="eastAsia" w:ascii="宋体" w:hAnsi="宋体" w:cs="宋体"/>
          <w:color w:val="auto"/>
          <w:sz w:val="24"/>
          <w:szCs w:val="24"/>
          <w:highlight w:val="none"/>
          <w:lang w:eastAsia="zh-CN"/>
        </w:rPr>
        <w:t>2026年度港区建设项目环评和危废发证技术评估</w:t>
      </w:r>
    </w:p>
    <w:p w14:paraId="5808FA48">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3、项目编号：</w:t>
      </w:r>
      <w:r>
        <w:rPr>
          <w:rFonts w:hint="eastAsia" w:ascii="宋体" w:hAnsi="宋体" w:cs="Times New Roman"/>
          <w:b w:val="0"/>
          <w:bCs w:val="0"/>
          <w:color w:val="auto"/>
          <w:sz w:val="24"/>
          <w:szCs w:val="24"/>
          <w:highlight w:val="none"/>
          <w:lang w:eastAsia="zh-CN"/>
        </w:rPr>
        <w:t>JSZC-320585-JSQY-G2025-0015</w:t>
      </w:r>
    </w:p>
    <w:p w14:paraId="5D3FD04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预算金额：人民币（大写）</w:t>
      </w:r>
      <w:r>
        <w:rPr>
          <w:rFonts w:hint="eastAsia" w:ascii="宋体" w:hAnsi="宋体" w:eastAsia="宋体" w:cs="宋体"/>
          <w:color w:val="auto"/>
          <w:sz w:val="24"/>
          <w:szCs w:val="24"/>
          <w:highlight w:val="none"/>
          <w:lang w:val="en-US" w:eastAsia="zh-CN"/>
        </w:rPr>
        <w:t>壹佰万元整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¥1000000.00</w:t>
      </w:r>
      <w:r>
        <w:rPr>
          <w:rFonts w:hint="eastAsia" w:ascii="宋体" w:hAnsi="宋体" w:eastAsia="宋体" w:cs="宋体"/>
          <w:color w:val="auto"/>
          <w:sz w:val="24"/>
          <w:szCs w:val="24"/>
          <w:highlight w:val="none"/>
        </w:rPr>
        <w:t>）</w:t>
      </w:r>
    </w:p>
    <w:p w14:paraId="5064563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920" w:firstLineChars="8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lang w:eastAsia="zh-CN"/>
        </w:rPr>
        <w:t>拾万元整（</w:t>
      </w:r>
      <w:r>
        <w:rPr>
          <w:rFonts w:hint="eastAsia" w:ascii="宋体" w:hAnsi="宋体" w:eastAsia="宋体" w:cs="宋体"/>
          <w:color w:val="auto"/>
          <w:sz w:val="24"/>
          <w:szCs w:val="24"/>
          <w:highlight w:val="none"/>
          <w:lang w:val="en-US" w:eastAsia="zh-CN"/>
        </w:rPr>
        <w:t>¥500000.00</w:t>
      </w:r>
      <w:r>
        <w:rPr>
          <w:rFonts w:hint="eastAsia" w:ascii="宋体" w:hAnsi="宋体" w:eastAsia="宋体" w:cs="宋体"/>
          <w:color w:val="auto"/>
          <w:sz w:val="24"/>
          <w:szCs w:val="24"/>
          <w:highlight w:val="none"/>
        </w:rPr>
        <w:t>）</w:t>
      </w:r>
    </w:p>
    <w:p w14:paraId="3E0B500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920" w:firstLineChars="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lang w:eastAsia="zh-CN"/>
        </w:rPr>
        <w:t>拾万元整（</w:t>
      </w:r>
      <w:r>
        <w:rPr>
          <w:rFonts w:hint="eastAsia" w:ascii="宋体" w:hAnsi="宋体" w:eastAsia="宋体" w:cs="宋体"/>
          <w:color w:val="auto"/>
          <w:sz w:val="24"/>
          <w:szCs w:val="24"/>
          <w:highlight w:val="none"/>
          <w:lang w:val="en-US" w:eastAsia="zh-CN"/>
        </w:rPr>
        <w:t>¥500000.00</w:t>
      </w:r>
      <w:r>
        <w:rPr>
          <w:rFonts w:hint="eastAsia" w:ascii="宋体" w:hAnsi="宋体" w:eastAsia="宋体" w:cs="宋体"/>
          <w:color w:val="auto"/>
          <w:sz w:val="24"/>
          <w:szCs w:val="24"/>
          <w:highlight w:val="none"/>
        </w:rPr>
        <w:t>）</w:t>
      </w:r>
    </w:p>
    <w:p w14:paraId="5DE6929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Calibri" w:hAnsi="Calibri" w:eastAsia="宋体" w:cs="Times New Roman"/>
          <w:color w:val="auto"/>
          <w:sz w:val="24"/>
          <w:szCs w:val="24"/>
          <w:highlight w:val="none"/>
          <w:lang w:val="en-US" w:eastAsia="zh-CN"/>
        </w:rPr>
        <w:t>5、</w:t>
      </w:r>
      <w:r>
        <w:rPr>
          <w:rFonts w:hint="eastAsia" w:ascii="Calibri" w:hAnsi="Calibri" w:eastAsia="宋体" w:cs="Times New Roman"/>
          <w:color w:val="auto"/>
          <w:sz w:val="24"/>
          <w:szCs w:val="24"/>
          <w:highlight w:val="none"/>
        </w:rPr>
        <w:t>最高限价：</w:t>
      </w: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lang w:val="en-US" w:eastAsia="zh-CN"/>
        </w:rPr>
        <w:t>壹佰万元整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¥1000000.00</w:t>
      </w:r>
      <w:r>
        <w:rPr>
          <w:rFonts w:hint="eastAsia" w:ascii="宋体" w:hAnsi="宋体" w:eastAsia="宋体" w:cs="宋体"/>
          <w:color w:val="auto"/>
          <w:sz w:val="24"/>
          <w:szCs w:val="24"/>
          <w:highlight w:val="none"/>
        </w:rPr>
        <w:t>）</w:t>
      </w:r>
    </w:p>
    <w:p w14:paraId="6E76521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920" w:firstLineChars="8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lang w:eastAsia="zh-CN"/>
        </w:rPr>
        <w:t>拾万元整（</w:t>
      </w:r>
      <w:r>
        <w:rPr>
          <w:rFonts w:hint="eastAsia" w:ascii="宋体" w:hAnsi="宋体" w:eastAsia="宋体" w:cs="宋体"/>
          <w:color w:val="auto"/>
          <w:sz w:val="24"/>
          <w:szCs w:val="24"/>
          <w:highlight w:val="none"/>
          <w:lang w:val="en-US" w:eastAsia="zh-CN"/>
        </w:rPr>
        <w:t>¥500000.00</w:t>
      </w:r>
      <w:r>
        <w:rPr>
          <w:rFonts w:hint="eastAsia" w:ascii="宋体" w:hAnsi="宋体" w:eastAsia="宋体" w:cs="宋体"/>
          <w:color w:val="auto"/>
          <w:sz w:val="24"/>
          <w:szCs w:val="24"/>
          <w:highlight w:val="none"/>
        </w:rPr>
        <w:t>）</w:t>
      </w:r>
    </w:p>
    <w:p w14:paraId="2E4D1B7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920" w:firstLineChars="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标段</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lang w:eastAsia="zh-CN"/>
        </w:rPr>
        <w:t>拾万元整（</w:t>
      </w:r>
      <w:r>
        <w:rPr>
          <w:rFonts w:hint="eastAsia" w:ascii="宋体" w:hAnsi="宋体" w:eastAsia="宋体" w:cs="宋体"/>
          <w:color w:val="auto"/>
          <w:sz w:val="24"/>
          <w:szCs w:val="24"/>
          <w:highlight w:val="none"/>
          <w:lang w:val="en-US" w:eastAsia="zh-CN"/>
        </w:rPr>
        <w:t>¥500000.00</w:t>
      </w:r>
      <w:r>
        <w:rPr>
          <w:rFonts w:hint="eastAsia" w:ascii="宋体" w:hAnsi="宋体" w:eastAsia="宋体" w:cs="宋体"/>
          <w:color w:val="auto"/>
          <w:sz w:val="24"/>
          <w:szCs w:val="24"/>
          <w:highlight w:val="none"/>
        </w:rPr>
        <w:t>）</w:t>
      </w:r>
    </w:p>
    <w:p w14:paraId="350E809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6、项目概况</w:t>
      </w:r>
    </w:p>
    <w:tbl>
      <w:tblPr>
        <w:tblStyle w:val="15"/>
        <w:tblW w:w="0" w:type="auto"/>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6"/>
        <w:gridCol w:w="1793"/>
        <w:gridCol w:w="5078"/>
        <w:gridCol w:w="1279"/>
      </w:tblGrid>
      <w:tr w14:paraId="6F56B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7" w:hRule="atLeast"/>
        </w:trPr>
        <w:tc>
          <w:tcPr>
            <w:tcW w:w="1006" w:type="dxa"/>
            <w:noWrap w:val="0"/>
            <w:vAlign w:val="center"/>
          </w:tcPr>
          <w:p w14:paraId="7F98F0E2">
            <w:pPr>
              <w:spacing w:line="360" w:lineRule="auto"/>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标段号</w:t>
            </w:r>
          </w:p>
        </w:tc>
        <w:tc>
          <w:tcPr>
            <w:tcW w:w="1793" w:type="dxa"/>
            <w:noWrap w:val="0"/>
            <w:vAlign w:val="center"/>
          </w:tcPr>
          <w:p w14:paraId="44B0BEB1">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服务内容</w:t>
            </w:r>
          </w:p>
        </w:tc>
        <w:tc>
          <w:tcPr>
            <w:tcW w:w="5078" w:type="dxa"/>
            <w:noWrap w:val="0"/>
            <w:vAlign w:val="center"/>
          </w:tcPr>
          <w:p w14:paraId="3CDBA89E">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服务区域</w:t>
            </w:r>
          </w:p>
        </w:tc>
        <w:tc>
          <w:tcPr>
            <w:tcW w:w="1279" w:type="dxa"/>
            <w:noWrap w:val="0"/>
            <w:vAlign w:val="center"/>
          </w:tcPr>
          <w:p w14:paraId="30EAFA28">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预算金额/元</w:t>
            </w:r>
          </w:p>
        </w:tc>
      </w:tr>
      <w:tr w14:paraId="1B68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trPr>
        <w:tc>
          <w:tcPr>
            <w:tcW w:w="1006" w:type="dxa"/>
            <w:noWrap w:val="0"/>
            <w:vAlign w:val="center"/>
          </w:tcPr>
          <w:p w14:paraId="6CF8F89C">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标段一</w:t>
            </w:r>
          </w:p>
        </w:tc>
        <w:tc>
          <w:tcPr>
            <w:tcW w:w="1793" w:type="dxa"/>
            <w:noWrap w:val="0"/>
            <w:vAlign w:val="center"/>
          </w:tcPr>
          <w:p w14:paraId="6062F090">
            <w:pPr>
              <w:spacing w:line="360" w:lineRule="auto"/>
              <w:jc w:val="center"/>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eastAsia="zh-CN"/>
              </w:rPr>
              <w:t>建设项目环评和危废发证技术评估</w:t>
            </w:r>
          </w:p>
        </w:tc>
        <w:tc>
          <w:tcPr>
            <w:tcW w:w="5078" w:type="dxa"/>
            <w:noWrap w:val="0"/>
            <w:vAlign w:val="center"/>
          </w:tcPr>
          <w:p w14:paraId="19C9F7AB">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港区（</w:t>
            </w:r>
            <w:r>
              <w:rPr>
                <w:rFonts w:hint="eastAsia" w:ascii="宋体" w:hAnsi="宋体" w:cs="宋体"/>
                <w:color w:val="auto"/>
                <w:sz w:val="24"/>
                <w:szCs w:val="24"/>
                <w:highlight w:val="none"/>
                <w:lang w:val="en-US" w:eastAsia="zh-CN"/>
              </w:rPr>
              <w:t>南环路</w:t>
            </w:r>
            <w:r>
              <w:rPr>
                <w:rFonts w:hint="eastAsia" w:ascii="宋体" w:hAnsi="宋体" w:eastAsia="宋体" w:cs="宋体"/>
                <w:color w:val="auto"/>
                <w:sz w:val="24"/>
                <w:szCs w:val="24"/>
                <w:highlight w:val="none"/>
                <w:lang w:eastAsia="zh-CN"/>
              </w:rPr>
              <w:t>以南</w:t>
            </w:r>
            <w:r>
              <w:rPr>
                <w:rFonts w:hint="eastAsia" w:ascii="宋体" w:hAnsi="宋体" w:eastAsia="宋体" w:cs="宋体"/>
                <w:color w:val="auto"/>
                <w:sz w:val="24"/>
                <w:szCs w:val="24"/>
                <w:highlight w:val="none"/>
                <w:lang w:val="en-US" w:eastAsia="zh-CN"/>
              </w:rPr>
              <w:t>区域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内的</w:t>
            </w:r>
            <w:r>
              <w:rPr>
                <w:rFonts w:hint="eastAsia" w:ascii="宋体" w:hAnsi="宋体" w:eastAsia="宋体" w:cs="宋体"/>
                <w:color w:val="auto"/>
                <w:kern w:val="0"/>
                <w:sz w:val="24"/>
                <w:szCs w:val="24"/>
                <w:highlight w:val="none"/>
                <w:lang w:eastAsia="zh-CN"/>
              </w:rPr>
              <w:t>建设项目环评和危废发证技术评估</w:t>
            </w:r>
          </w:p>
        </w:tc>
        <w:tc>
          <w:tcPr>
            <w:tcW w:w="1279" w:type="dxa"/>
            <w:noWrap w:val="0"/>
            <w:vAlign w:val="center"/>
          </w:tcPr>
          <w:p w14:paraId="74B41D8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0000</w:t>
            </w:r>
          </w:p>
        </w:tc>
      </w:tr>
      <w:tr w14:paraId="695A1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5" w:hRule="atLeast"/>
        </w:trPr>
        <w:tc>
          <w:tcPr>
            <w:tcW w:w="1006" w:type="dxa"/>
            <w:noWrap w:val="0"/>
            <w:vAlign w:val="center"/>
          </w:tcPr>
          <w:p w14:paraId="2DC7EF3E">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标段二</w:t>
            </w:r>
          </w:p>
        </w:tc>
        <w:tc>
          <w:tcPr>
            <w:tcW w:w="1793" w:type="dxa"/>
            <w:noWrap w:val="0"/>
            <w:vAlign w:val="center"/>
          </w:tcPr>
          <w:p w14:paraId="420E819A">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color w:val="auto"/>
                <w:kern w:val="0"/>
                <w:sz w:val="24"/>
                <w:szCs w:val="24"/>
                <w:highlight w:val="none"/>
                <w:lang w:eastAsia="zh-CN"/>
              </w:rPr>
              <w:t>建设项目环评和危废发证技术评估</w:t>
            </w:r>
          </w:p>
        </w:tc>
        <w:tc>
          <w:tcPr>
            <w:tcW w:w="5078" w:type="dxa"/>
            <w:noWrap w:val="0"/>
            <w:vAlign w:val="center"/>
          </w:tcPr>
          <w:p w14:paraId="1AE6B445">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eastAsia="zh-CN"/>
              </w:rPr>
              <w:t>港区（</w:t>
            </w:r>
            <w:r>
              <w:rPr>
                <w:rFonts w:hint="eastAsia" w:ascii="宋体" w:hAnsi="宋体" w:cs="宋体"/>
                <w:color w:val="auto"/>
                <w:sz w:val="24"/>
                <w:szCs w:val="24"/>
                <w:highlight w:val="none"/>
                <w:lang w:val="en-US" w:eastAsia="zh-CN"/>
              </w:rPr>
              <w:t>南环路</w:t>
            </w:r>
            <w:r>
              <w:rPr>
                <w:rFonts w:hint="eastAsia" w:ascii="宋体" w:hAnsi="宋体" w:eastAsia="宋体" w:cs="宋体"/>
                <w:color w:val="auto"/>
                <w:sz w:val="24"/>
                <w:szCs w:val="24"/>
                <w:highlight w:val="none"/>
                <w:lang w:eastAsia="zh-CN"/>
              </w:rPr>
              <w:t>以</w:t>
            </w:r>
            <w:r>
              <w:rPr>
                <w:rFonts w:hint="eastAsia" w:ascii="宋体" w:hAnsi="宋体" w:cs="宋体"/>
                <w:color w:val="auto"/>
                <w:sz w:val="24"/>
                <w:szCs w:val="24"/>
                <w:highlight w:val="none"/>
                <w:lang w:val="en-US" w:eastAsia="zh-CN"/>
              </w:rPr>
              <w:t>北</w:t>
            </w:r>
            <w:r>
              <w:rPr>
                <w:rFonts w:hint="eastAsia" w:ascii="宋体" w:hAnsi="宋体" w:eastAsia="宋体" w:cs="宋体"/>
                <w:color w:val="auto"/>
                <w:sz w:val="24"/>
                <w:szCs w:val="24"/>
                <w:highlight w:val="none"/>
                <w:lang w:val="en-US" w:eastAsia="zh-CN"/>
              </w:rPr>
              <w:t>区域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内的</w:t>
            </w:r>
            <w:r>
              <w:rPr>
                <w:rFonts w:hint="eastAsia" w:ascii="宋体" w:hAnsi="宋体" w:eastAsia="宋体" w:cs="宋体"/>
                <w:color w:val="auto"/>
                <w:kern w:val="0"/>
                <w:sz w:val="24"/>
                <w:szCs w:val="24"/>
                <w:highlight w:val="none"/>
                <w:lang w:eastAsia="zh-CN"/>
              </w:rPr>
              <w:t>建设项目环评和危废发证技术评估</w:t>
            </w:r>
          </w:p>
        </w:tc>
        <w:tc>
          <w:tcPr>
            <w:tcW w:w="1279" w:type="dxa"/>
            <w:noWrap w:val="0"/>
            <w:vAlign w:val="center"/>
          </w:tcPr>
          <w:p w14:paraId="22FA16D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0000</w:t>
            </w:r>
          </w:p>
        </w:tc>
      </w:tr>
    </w:tbl>
    <w:p w14:paraId="78368213">
      <w:pPr>
        <w:spacing w:line="360" w:lineRule="auto"/>
        <w:ind w:right="178" w:firstLine="241" w:firstLineChars="100"/>
        <w:rPr>
          <w:rFonts w:hint="eastAsia" w:ascii="宋体" w:hAnsi="宋体"/>
          <w:b/>
          <w:color w:val="auto"/>
          <w:sz w:val="24"/>
          <w:szCs w:val="24"/>
          <w:highlight w:val="none"/>
        </w:rPr>
      </w:pPr>
    </w:p>
    <w:p w14:paraId="1DC5343D">
      <w:pPr>
        <w:spacing w:line="360" w:lineRule="auto"/>
        <w:ind w:right="178" w:firstLine="241" w:firstLineChars="100"/>
        <w:rPr>
          <w:rFonts w:hint="eastAsia" w:ascii="宋体" w:hAnsi="宋体"/>
          <w:b/>
          <w:color w:val="auto"/>
          <w:sz w:val="24"/>
          <w:szCs w:val="24"/>
          <w:highlight w:val="none"/>
        </w:rPr>
      </w:pPr>
      <w:r>
        <w:rPr>
          <w:rFonts w:hint="eastAsia" w:ascii="宋体" w:hAnsi="宋体"/>
          <w:b/>
          <w:color w:val="auto"/>
          <w:sz w:val="24"/>
          <w:szCs w:val="24"/>
          <w:highlight w:val="none"/>
        </w:rPr>
        <w:t>注：①评标顺序按照</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一、</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二进行</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投标人可选择二个</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中一个或多个</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投报，但最多只能在一个</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中标。已中标的投标人不再计入其他</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的供应商数量且不参与其他</w:t>
      </w:r>
      <w:r>
        <w:rPr>
          <w:rFonts w:hint="eastAsia" w:ascii="宋体" w:hAnsi="宋体"/>
          <w:b/>
          <w:color w:val="auto"/>
          <w:sz w:val="24"/>
          <w:szCs w:val="24"/>
          <w:highlight w:val="none"/>
          <w:lang w:val="en-US" w:eastAsia="zh-CN"/>
        </w:rPr>
        <w:t>标段</w:t>
      </w:r>
      <w:r>
        <w:rPr>
          <w:rFonts w:hint="eastAsia" w:ascii="宋体" w:hAnsi="宋体"/>
          <w:b/>
          <w:color w:val="auto"/>
          <w:sz w:val="24"/>
          <w:szCs w:val="24"/>
          <w:highlight w:val="none"/>
        </w:rPr>
        <w:t>评审。</w:t>
      </w:r>
    </w:p>
    <w:p w14:paraId="264AC12D">
      <w:pPr>
        <w:spacing w:line="360" w:lineRule="auto"/>
        <w:ind w:right="178"/>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②原则上中标的投标人负责相应的服务区域，特殊情况或项目根据需要由采购方确定。</w:t>
      </w:r>
    </w:p>
    <w:p w14:paraId="46112DE1">
      <w:pPr>
        <w:spacing w:line="360" w:lineRule="auto"/>
        <w:ind w:right="178"/>
        <w:rPr>
          <w:rFonts w:hint="eastAsia" w:ascii="宋体" w:hAnsi="宋体"/>
          <w:b/>
          <w:color w:val="auto"/>
          <w:szCs w:val="21"/>
          <w:highlight w:val="none"/>
          <w:lang w:val="en-US" w:eastAsia="zh-CN"/>
        </w:rPr>
      </w:pPr>
      <w:r>
        <w:rPr>
          <w:rFonts w:hint="eastAsia" w:ascii="宋体" w:hAnsi="宋体"/>
          <w:b/>
          <w:color w:val="auto"/>
          <w:sz w:val="24"/>
          <w:szCs w:val="24"/>
          <w:highlight w:val="none"/>
        </w:rPr>
        <w:t>③投标人的报价不得超过每包的预算金额，否则作无效投标。</w:t>
      </w:r>
    </w:p>
    <w:p w14:paraId="71CB6E8E">
      <w:pPr>
        <w:keepNext w:val="0"/>
        <w:keepLines w:val="0"/>
        <w:pageBreakBefore w:val="0"/>
        <w:kinsoku/>
        <w:wordWrap/>
        <w:overflowPunct/>
        <w:topLinePunct w:val="0"/>
        <w:autoSpaceDE/>
        <w:autoSpaceDN/>
        <w:bidi w:val="0"/>
        <w:adjustRightInd w:val="0"/>
        <w:snapToGrid w:val="0"/>
        <w:spacing w:line="360" w:lineRule="auto"/>
        <w:ind w:right="0" w:rightChars="0" w:firstLine="512"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spacing w:val="8"/>
          <w:kern w:val="0"/>
          <w:sz w:val="24"/>
          <w:szCs w:val="24"/>
          <w:highlight w:val="none"/>
          <w:lang w:val="en-US" w:eastAsia="zh-CN"/>
        </w:rPr>
        <w:t>7</w:t>
      </w:r>
      <w:r>
        <w:rPr>
          <w:rFonts w:hint="eastAsia" w:ascii="宋体" w:hAnsi="宋体" w:eastAsia="宋体" w:cs="宋体"/>
          <w:color w:val="auto"/>
          <w:spacing w:val="8"/>
          <w:kern w:val="0"/>
          <w:sz w:val="24"/>
          <w:szCs w:val="24"/>
          <w:highlight w:val="none"/>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w:t>
      </w:r>
      <w:r>
        <w:rPr>
          <w:rFonts w:hint="eastAsia" w:ascii="宋体" w:hAnsi="宋体" w:cs="宋体"/>
          <w:color w:val="auto"/>
          <w:sz w:val="24"/>
          <w:szCs w:val="24"/>
          <w:highlight w:val="none"/>
          <w:lang w:val="en-US" w:eastAsia="zh-CN"/>
        </w:rPr>
        <w:t>自合同签订之日起至</w:t>
      </w:r>
      <w:r>
        <w:rPr>
          <w:rFonts w:hint="eastAsia" w:ascii="宋体" w:hAnsi="宋体" w:eastAsia="宋体" w:cs="宋体"/>
          <w:color w:val="auto"/>
          <w:sz w:val="24"/>
          <w:szCs w:val="24"/>
          <w:highlight w:val="none"/>
        </w:rPr>
        <w:t>2026年12月31日</w:t>
      </w:r>
      <w:r>
        <w:rPr>
          <w:rFonts w:hint="eastAsia" w:ascii="宋体" w:hAnsi="宋体" w:eastAsia="宋体" w:cs="宋体"/>
          <w:color w:val="auto"/>
          <w:sz w:val="24"/>
          <w:szCs w:val="24"/>
          <w:highlight w:val="none"/>
          <w:shd w:val="clear" w:color="auto" w:fill="FFFFFF"/>
          <w:lang w:bidi="ar"/>
        </w:rPr>
        <w:t>。</w:t>
      </w:r>
    </w:p>
    <w:p w14:paraId="265B5930">
      <w:pPr>
        <w:spacing w:line="360" w:lineRule="auto"/>
        <w:rPr>
          <w:rFonts w:hint="eastAsia" w:ascii="Times New Roman Regular" w:hAnsi="Times New Roman Regular" w:eastAsia="宋体" w:cs="Times New Roman Regular"/>
          <w:b/>
          <w:bCs/>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rPr>
        <w:t>二、</w:t>
      </w:r>
      <w:r>
        <w:rPr>
          <w:rFonts w:hint="eastAsia" w:ascii="宋体" w:hAnsi="宋体" w:cs="宋体"/>
          <w:b/>
          <w:color w:val="auto"/>
          <w:kern w:val="0"/>
          <w:sz w:val="24"/>
          <w:szCs w:val="24"/>
          <w:highlight w:val="none"/>
          <w:lang w:val="en-US" w:eastAsia="zh-CN"/>
        </w:rPr>
        <w:t>采购需求</w:t>
      </w:r>
      <w:r>
        <w:rPr>
          <w:rFonts w:hint="eastAsia" w:ascii="宋体" w:hAnsi="宋体" w:eastAsia="宋体" w:cs="宋体"/>
          <w:b/>
          <w:color w:val="auto"/>
          <w:kern w:val="0"/>
          <w:sz w:val="24"/>
          <w:szCs w:val="24"/>
          <w:highlight w:val="none"/>
        </w:rPr>
        <w:t>：</w:t>
      </w:r>
    </w:p>
    <w:tbl>
      <w:tblPr>
        <w:tblStyle w:val="1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456"/>
        <w:gridCol w:w="1036"/>
        <w:gridCol w:w="1702"/>
        <w:gridCol w:w="4760"/>
        <w:gridCol w:w="845"/>
        <w:gridCol w:w="801"/>
      </w:tblGrid>
      <w:tr w14:paraId="491D6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00" w:type="pct"/>
            <w:gridSpan w:val="6"/>
            <w:noWrap w:val="0"/>
            <w:tcMar>
              <w:top w:w="100" w:type="dxa"/>
              <w:bottom w:w="100" w:type="dxa"/>
            </w:tcMar>
            <w:vAlign w:val="center"/>
          </w:tcPr>
          <w:p w14:paraId="463ACEB4">
            <w:pPr>
              <w:ind w:firstLine="1920" w:firstLineChars="800"/>
              <w:jc w:val="both"/>
              <w:rPr>
                <w:rFonts w:hint="eastAsia"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eastAsia="宋体" w:cs="Times New Roman Regular"/>
                <w:color w:val="auto"/>
                <w:sz w:val="24"/>
                <w:szCs w:val="24"/>
                <w:highlight w:val="none"/>
                <w:lang w:val="en-US" w:eastAsia="zh-CN"/>
              </w:rPr>
              <w:t>服务内</w:t>
            </w:r>
            <w:r>
              <w:rPr>
                <w:rFonts w:hint="eastAsia" w:ascii="Times New Roman Regular" w:hAnsi="Times New Roman Regular" w:eastAsia="宋体" w:cs="Times New Roman Regular"/>
                <w:color w:val="auto"/>
                <w:kern w:val="0"/>
                <w:sz w:val="24"/>
                <w:szCs w:val="24"/>
                <w:highlight w:val="none"/>
                <w:lang w:val="en-US" w:eastAsia="zh-CN"/>
              </w:rPr>
              <w:t>容：</w:t>
            </w:r>
            <w:r>
              <w:rPr>
                <w:rFonts w:hint="eastAsia" w:ascii="Times New Roman Regular" w:hAnsi="Times New Roman Regular" w:eastAsia="宋体" w:cs="Times New Roman Regular"/>
                <w:color w:val="auto"/>
                <w:kern w:val="0"/>
                <w:sz w:val="24"/>
                <w:szCs w:val="24"/>
                <w:highlight w:val="none"/>
                <w:lang w:eastAsia="zh-CN"/>
              </w:rPr>
              <w:t>建设项目环评和危废发证技术评估</w:t>
            </w:r>
          </w:p>
        </w:tc>
      </w:tr>
      <w:tr w14:paraId="336EF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37" w:type="pct"/>
            <w:noWrap w:val="0"/>
            <w:tcMar>
              <w:top w:w="100" w:type="dxa"/>
              <w:bottom w:w="100" w:type="dxa"/>
            </w:tcMar>
            <w:vAlign w:val="center"/>
          </w:tcPr>
          <w:p w14:paraId="37B47D90">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序号</w:t>
            </w:r>
          </w:p>
        </w:tc>
        <w:tc>
          <w:tcPr>
            <w:tcW w:w="540" w:type="pct"/>
            <w:noWrap w:val="0"/>
            <w:tcMar>
              <w:top w:w="100" w:type="dxa"/>
              <w:bottom w:w="100" w:type="dxa"/>
            </w:tcMar>
            <w:vAlign w:val="center"/>
          </w:tcPr>
          <w:p w14:paraId="50C9356D">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名称</w:t>
            </w:r>
          </w:p>
        </w:tc>
        <w:tc>
          <w:tcPr>
            <w:tcW w:w="887" w:type="pct"/>
            <w:noWrap w:val="0"/>
            <w:tcMar>
              <w:top w:w="100" w:type="dxa"/>
              <w:bottom w:w="100" w:type="dxa"/>
            </w:tcMar>
            <w:vAlign w:val="center"/>
          </w:tcPr>
          <w:p w14:paraId="3CDBC6E6">
            <w:pPr>
              <w:pStyle w:val="28"/>
              <w:jc w:val="center"/>
              <w:rPr>
                <w:rFonts w:hint="eastAsia"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eastAsia="宋体" w:cs="Times New Roman Regular"/>
                <w:color w:val="auto"/>
                <w:sz w:val="24"/>
                <w:szCs w:val="24"/>
                <w:highlight w:val="none"/>
                <w:lang w:val="en-US" w:eastAsia="zh-CN"/>
              </w:rPr>
              <w:t>单价最高限价</w:t>
            </w:r>
          </w:p>
          <w:p w14:paraId="46F63C98">
            <w:pPr>
              <w:pStyle w:val="28"/>
              <w:jc w:val="center"/>
              <w:rPr>
                <w:rFonts w:hint="default"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eastAsia="宋体" w:cs="Times New Roman Regular"/>
                <w:color w:val="auto"/>
                <w:sz w:val="24"/>
                <w:szCs w:val="24"/>
                <w:highlight w:val="none"/>
                <w:lang w:val="en-US" w:eastAsia="zh-CN"/>
              </w:rPr>
              <w:t>（元/个）</w:t>
            </w:r>
          </w:p>
        </w:tc>
        <w:tc>
          <w:tcPr>
            <w:tcW w:w="2479" w:type="pct"/>
            <w:noWrap w:val="0"/>
            <w:tcMar>
              <w:top w:w="100" w:type="dxa"/>
              <w:bottom w:w="100" w:type="dxa"/>
            </w:tcMar>
            <w:vAlign w:val="center"/>
          </w:tcPr>
          <w:p w14:paraId="59D30215">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所属行业</w:t>
            </w:r>
          </w:p>
        </w:tc>
        <w:tc>
          <w:tcPr>
            <w:tcW w:w="440" w:type="pct"/>
            <w:noWrap w:val="0"/>
            <w:tcMar>
              <w:top w:w="100" w:type="dxa"/>
              <w:bottom w:w="100" w:type="dxa"/>
            </w:tcMar>
            <w:vAlign w:val="center"/>
          </w:tcPr>
          <w:p w14:paraId="1A009C27">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标的类型</w:t>
            </w:r>
          </w:p>
        </w:tc>
        <w:tc>
          <w:tcPr>
            <w:tcW w:w="415" w:type="pct"/>
            <w:noWrap w:val="0"/>
            <w:tcMar>
              <w:top w:w="100" w:type="dxa"/>
              <w:bottom w:w="100" w:type="dxa"/>
            </w:tcMar>
            <w:vAlign w:val="center"/>
          </w:tcPr>
          <w:p w14:paraId="6B1A5A0A">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标的属性</w:t>
            </w:r>
          </w:p>
        </w:tc>
      </w:tr>
      <w:tr w14:paraId="0F102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37" w:type="pct"/>
            <w:noWrap w:val="0"/>
            <w:tcMar>
              <w:top w:w="100" w:type="dxa"/>
              <w:bottom w:w="100" w:type="dxa"/>
            </w:tcMar>
            <w:vAlign w:val="center"/>
          </w:tcPr>
          <w:p w14:paraId="752AEA10">
            <w:pPr>
              <w:pStyle w:val="28"/>
              <w:jc w:val="center"/>
              <w:rPr>
                <w:rFonts w:hint="eastAsia" w:ascii="Times New Roman Regular" w:hAnsi="Times New Roman Regular" w:eastAsia="宋体" w:cs="Times New Roman Regular"/>
                <w:color w:val="auto"/>
                <w:sz w:val="24"/>
                <w:szCs w:val="24"/>
                <w:highlight w:val="none"/>
              </w:rPr>
            </w:pPr>
            <w:r>
              <w:rPr>
                <w:rFonts w:ascii="宋体" w:hAnsi="宋体" w:eastAsia="宋体" w:cs="宋体"/>
                <w:color w:val="auto"/>
                <w:sz w:val="24"/>
                <w:szCs w:val="24"/>
                <w:highlight w:val="none"/>
              </w:rPr>
              <w:t>1</w:t>
            </w:r>
          </w:p>
        </w:tc>
        <w:tc>
          <w:tcPr>
            <w:tcW w:w="540" w:type="pct"/>
            <w:noWrap w:val="0"/>
            <w:tcMar>
              <w:top w:w="100" w:type="dxa"/>
              <w:bottom w:w="100" w:type="dxa"/>
            </w:tcMar>
            <w:vAlign w:val="center"/>
          </w:tcPr>
          <w:p w14:paraId="5EA4F9C4">
            <w:pPr>
              <w:pStyle w:val="28"/>
              <w:jc w:val="center"/>
              <w:rPr>
                <w:rFonts w:hint="default" w:ascii="Times New Roman Regular" w:hAnsi="Times New Roman Regular" w:eastAsia="宋体" w:cs="Times New Roman Regular"/>
                <w:color w:val="auto"/>
                <w:sz w:val="24"/>
                <w:szCs w:val="24"/>
                <w:highlight w:val="none"/>
                <w:lang w:val="en-US"/>
              </w:rPr>
            </w:pPr>
            <w:r>
              <w:rPr>
                <w:rStyle w:val="29"/>
                <w:rFonts w:hint="default" w:cstheme="minorBidi"/>
                <w:color w:val="auto"/>
                <w:kern w:val="2"/>
                <w:sz w:val="24"/>
                <w:szCs w:val="24"/>
                <w:highlight w:val="none"/>
                <w:lang w:val="en-US" w:eastAsia="zh-CN" w:bidi="ar-SA"/>
              </w:rPr>
              <w:t>环境影响报告书技术评估</w:t>
            </w:r>
            <w:r>
              <w:rPr>
                <w:rStyle w:val="29"/>
                <w:rFonts w:hint="eastAsia" w:cstheme="minorBidi"/>
                <w:color w:val="auto"/>
                <w:kern w:val="2"/>
                <w:sz w:val="24"/>
                <w:szCs w:val="24"/>
                <w:highlight w:val="none"/>
                <w:lang w:val="en-US" w:eastAsia="zh-CN" w:bidi="ar-SA"/>
              </w:rPr>
              <w:t>与审查</w:t>
            </w:r>
          </w:p>
        </w:tc>
        <w:tc>
          <w:tcPr>
            <w:tcW w:w="887" w:type="pct"/>
            <w:noWrap w:val="0"/>
            <w:tcMar>
              <w:top w:w="100" w:type="dxa"/>
              <w:bottom w:w="100" w:type="dxa"/>
            </w:tcMar>
            <w:vAlign w:val="center"/>
          </w:tcPr>
          <w:p w14:paraId="189CBE2D">
            <w:pPr>
              <w:pStyle w:val="28"/>
              <w:jc w:val="center"/>
              <w:rPr>
                <w:rStyle w:val="29"/>
                <w:rFonts w:hint="default" w:cstheme="minorBidi"/>
                <w:color w:val="auto"/>
                <w:kern w:val="2"/>
                <w:sz w:val="24"/>
                <w:szCs w:val="24"/>
                <w:highlight w:val="none"/>
                <w:lang w:val="en-US" w:eastAsia="zh-CN" w:bidi="ar-SA"/>
              </w:rPr>
            </w:pPr>
            <w:r>
              <w:rPr>
                <w:rStyle w:val="29"/>
                <w:rFonts w:hint="default" w:cstheme="minorBidi"/>
                <w:color w:val="auto"/>
                <w:kern w:val="2"/>
                <w:sz w:val="24"/>
                <w:szCs w:val="24"/>
                <w:highlight w:val="none"/>
                <w:lang w:val="en-US" w:eastAsia="zh-CN" w:bidi="ar-SA"/>
              </w:rPr>
              <w:t>20800</w:t>
            </w:r>
          </w:p>
        </w:tc>
        <w:tc>
          <w:tcPr>
            <w:tcW w:w="2479" w:type="pct"/>
            <w:noWrap w:val="0"/>
            <w:tcMar>
              <w:top w:w="100" w:type="dxa"/>
              <w:bottom w:w="100" w:type="dxa"/>
            </w:tcMar>
            <w:vAlign w:val="center"/>
          </w:tcPr>
          <w:p w14:paraId="6D611736">
            <w:pPr>
              <w:pStyle w:val="28"/>
              <w:jc w:val="center"/>
              <w:rPr>
                <w:rFonts w:hint="eastAsia" w:ascii="Times New Roman Regular" w:hAnsi="Times New Roman Regular" w:eastAsia="宋体" w:cs="Times New Roman Regular"/>
                <w:color w:val="auto"/>
                <w:sz w:val="24"/>
                <w:szCs w:val="24"/>
                <w:highlight w:val="none"/>
              </w:rPr>
            </w:pPr>
            <w:r>
              <w:rPr>
                <w:rFonts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440" w:type="pct"/>
            <w:noWrap w:val="0"/>
            <w:tcMar>
              <w:top w:w="100" w:type="dxa"/>
              <w:bottom w:w="100" w:type="dxa"/>
            </w:tcMar>
            <w:vAlign w:val="center"/>
          </w:tcPr>
          <w:p w14:paraId="1CEFD28D">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主要采购标的</w:t>
            </w:r>
          </w:p>
        </w:tc>
        <w:tc>
          <w:tcPr>
            <w:tcW w:w="415" w:type="pct"/>
            <w:noWrap w:val="0"/>
            <w:tcMar>
              <w:top w:w="100" w:type="dxa"/>
              <w:bottom w:w="100" w:type="dxa"/>
            </w:tcMar>
            <w:vAlign w:val="center"/>
          </w:tcPr>
          <w:p w14:paraId="7105C325">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服务类</w:t>
            </w:r>
          </w:p>
        </w:tc>
      </w:tr>
      <w:tr w14:paraId="7DEB4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37" w:type="pct"/>
            <w:noWrap w:val="0"/>
            <w:tcMar>
              <w:top w:w="100" w:type="dxa"/>
              <w:bottom w:w="100" w:type="dxa"/>
            </w:tcMar>
            <w:vAlign w:val="center"/>
          </w:tcPr>
          <w:p w14:paraId="368EBAD0">
            <w:pPr>
              <w:pStyle w:val="28"/>
              <w:jc w:val="center"/>
              <w:rPr>
                <w:rFonts w:hint="eastAsia" w:ascii="Times New Roman Regular" w:hAnsi="Times New Roman Regular" w:eastAsia="宋体" w:cs="Times New Roman Regular"/>
                <w:color w:val="auto"/>
                <w:sz w:val="24"/>
                <w:szCs w:val="24"/>
                <w:highlight w:val="none"/>
              </w:rPr>
            </w:pPr>
            <w:r>
              <w:rPr>
                <w:rFonts w:hint="eastAsia" w:ascii="宋体" w:hAnsi="宋体" w:eastAsia="宋体" w:cs="宋体"/>
                <w:color w:val="auto"/>
                <w:sz w:val="24"/>
                <w:szCs w:val="24"/>
                <w:highlight w:val="none"/>
              </w:rPr>
              <w:t>2</w:t>
            </w:r>
          </w:p>
        </w:tc>
        <w:tc>
          <w:tcPr>
            <w:tcW w:w="540" w:type="pct"/>
            <w:noWrap w:val="0"/>
            <w:tcMar>
              <w:top w:w="100" w:type="dxa"/>
              <w:bottom w:w="100" w:type="dxa"/>
            </w:tcMar>
            <w:vAlign w:val="center"/>
          </w:tcPr>
          <w:p w14:paraId="047DD2AE">
            <w:pPr>
              <w:pStyle w:val="28"/>
              <w:jc w:val="center"/>
              <w:rPr>
                <w:rFonts w:hint="default" w:ascii="Times New Roman Regular" w:hAnsi="Times New Roman Regular" w:eastAsia="宋体" w:cs="Times New Roman Regular"/>
                <w:color w:val="auto"/>
                <w:sz w:val="24"/>
                <w:szCs w:val="24"/>
                <w:highlight w:val="none"/>
                <w:lang w:val="en-US"/>
              </w:rPr>
            </w:pPr>
            <w:r>
              <w:rPr>
                <w:rStyle w:val="29"/>
                <w:rFonts w:hint="default" w:cstheme="minorBidi"/>
                <w:color w:val="auto"/>
                <w:kern w:val="2"/>
                <w:sz w:val="24"/>
                <w:szCs w:val="24"/>
                <w:highlight w:val="none"/>
                <w:lang w:val="en-US" w:eastAsia="zh-CN" w:bidi="ar-SA"/>
              </w:rPr>
              <w:t>环境影响报告表技术评估</w:t>
            </w:r>
            <w:r>
              <w:rPr>
                <w:rStyle w:val="29"/>
                <w:rFonts w:hint="eastAsia" w:cstheme="minorBidi"/>
                <w:color w:val="auto"/>
                <w:kern w:val="2"/>
                <w:sz w:val="24"/>
                <w:szCs w:val="24"/>
                <w:highlight w:val="none"/>
                <w:lang w:val="en-US" w:eastAsia="zh-CN" w:bidi="ar-SA"/>
              </w:rPr>
              <w:t>与审查</w:t>
            </w:r>
          </w:p>
        </w:tc>
        <w:tc>
          <w:tcPr>
            <w:tcW w:w="887" w:type="pct"/>
            <w:noWrap w:val="0"/>
            <w:tcMar>
              <w:top w:w="100" w:type="dxa"/>
              <w:bottom w:w="100" w:type="dxa"/>
            </w:tcMar>
            <w:vAlign w:val="center"/>
          </w:tcPr>
          <w:p w14:paraId="1A756B27">
            <w:pPr>
              <w:pStyle w:val="28"/>
              <w:jc w:val="center"/>
              <w:rPr>
                <w:rStyle w:val="29"/>
                <w:rFonts w:hint="default" w:cstheme="minorBidi"/>
                <w:color w:val="auto"/>
                <w:kern w:val="2"/>
                <w:sz w:val="24"/>
                <w:szCs w:val="24"/>
                <w:highlight w:val="none"/>
                <w:lang w:val="en-US" w:eastAsia="zh-CN" w:bidi="ar-SA"/>
              </w:rPr>
            </w:pPr>
            <w:r>
              <w:rPr>
                <w:rStyle w:val="29"/>
                <w:rFonts w:hint="default" w:cstheme="minorBidi"/>
                <w:color w:val="auto"/>
                <w:kern w:val="2"/>
                <w:sz w:val="24"/>
                <w:szCs w:val="24"/>
                <w:highlight w:val="none"/>
                <w:lang w:val="en-US" w:eastAsia="zh-CN" w:bidi="ar-SA"/>
              </w:rPr>
              <w:t>15000</w:t>
            </w:r>
          </w:p>
        </w:tc>
        <w:tc>
          <w:tcPr>
            <w:tcW w:w="2479" w:type="pct"/>
            <w:noWrap w:val="0"/>
            <w:tcMar>
              <w:top w:w="100" w:type="dxa"/>
              <w:bottom w:w="100" w:type="dxa"/>
            </w:tcMar>
            <w:vAlign w:val="center"/>
          </w:tcPr>
          <w:p w14:paraId="09502054">
            <w:pPr>
              <w:pStyle w:val="28"/>
              <w:jc w:val="center"/>
              <w:rPr>
                <w:rFonts w:hint="eastAsia" w:ascii="Times New Roman Regular" w:hAnsi="Times New Roman Regular" w:eastAsia="宋体" w:cs="Times New Roman Regular"/>
                <w:color w:val="auto"/>
                <w:sz w:val="24"/>
                <w:szCs w:val="24"/>
                <w:highlight w:val="none"/>
              </w:rPr>
            </w:pPr>
            <w:r>
              <w:rPr>
                <w:rFonts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440" w:type="pct"/>
            <w:noWrap w:val="0"/>
            <w:tcMar>
              <w:top w:w="100" w:type="dxa"/>
              <w:bottom w:w="100" w:type="dxa"/>
            </w:tcMar>
            <w:vAlign w:val="center"/>
          </w:tcPr>
          <w:p w14:paraId="0300F3D5">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主要采购标的</w:t>
            </w:r>
          </w:p>
        </w:tc>
        <w:tc>
          <w:tcPr>
            <w:tcW w:w="415" w:type="pct"/>
            <w:noWrap w:val="0"/>
            <w:tcMar>
              <w:top w:w="100" w:type="dxa"/>
              <w:bottom w:w="100" w:type="dxa"/>
            </w:tcMar>
            <w:vAlign w:val="center"/>
          </w:tcPr>
          <w:p w14:paraId="3999C7E7">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服务类</w:t>
            </w:r>
          </w:p>
        </w:tc>
      </w:tr>
      <w:tr w14:paraId="1DE1E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37" w:type="pct"/>
            <w:noWrap w:val="0"/>
            <w:tcMar>
              <w:top w:w="100" w:type="dxa"/>
              <w:bottom w:w="100" w:type="dxa"/>
            </w:tcMar>
            <w:vAlign w:val="center"/>
          </w:tcPr>
          <w:p w14:paraId="6F12D1D1">
            <w:pPr>
              <w:pStyle w:val="28"/>
              <w:jc w:val="center"/>
              <w:rPr>
                <w:rFonts w:hint="eastAsia" w:ascii="Times New Roman Regular" w:hAnsi="Times New Roman Regular" w:eastAsia="宋体" w:cs="Times New Roman Regular"/>
                <w:color w:val="auto"/>
                <w:sz w:val="24"/>
                <w:szCs w:val="24"/>
                <w:highlight w:val="none"/>
              </w:rPr>
            </w:pPr>
            <w:r>
              <w:rPr>
                <w:rFonts w:hint="eastAsia" w:ascii="宋体" w:hAnsi="宋体" w:eastAsia="宋体" w:cs="宋体"/>
                <w:color w:val="auto"/>
                <w:sz w:val="24"/>
                <w:szCs w:val="24"/>
                <w:highlight w:val="none"/>
              </w:rPr>
              <w:t>3</w:t>
            </w:r>
          </w:p>
        </w:tc>
        <w:tc>
          <w:tcPr>
            <w:tcW w:w="540" w:type="pct"/>
            <w:noWrap w:val="0"/>
            <w:tcMar>
              <w:top w:w="100" w:type="dxa"/>
              <w:bottom w:w="100" w:type="dxa"/>
            </w:tcMar>
            <w:vAlign w:val="center"/>
          </w:tcPr>
          <w:p w14:paraId="05E1ED0D">
            <w:pPr>
              <w:pStyle w:val="28"/>
              <w:jc w:val="center"/>
              <w:rPr>
                <w:rStyle w:val="29"/>
                <w:rFonts w:hint="eastAsia" w:ascii="宋体" w:hAnsi="宋体" w:eastAsia="宋体" w:cstheme="minorBidi"/>
                <w:color w:val="auto"/>
                <w:sz w:val="24"/>
                <w:szCs w:val="24"/>
                <w:highlight w:val="none"/>
                <w:lang w:eastAsia="zh-CN"/>
              </w:rPr>
            </w:pPr>
            <w:r>
              <w:rPr>
                <w:rStyle w:val="29"/>
                <w:rFonts w:hint="default" w:ascii="宋体" w:hAnsi="宋体" w:eastAsia="宋体" w:cstheme="minorBidi"/>
                <w:color w:val="auto"/>
                <w:kern w:val="2"/>
                <w:sz w:val="24"/>
                <w:szCs w:val="24"/>
                <w:highlight w:val="none"/>
                <w:lang w:val="en-US" w:eastAsia="zh-CN" w:bidi="ar-SA"/>
              </w:rPr>
              <w:t>环境影响报告表</w:t>
            </w:r>
            <w:r>
              <w:rPr>
                <w:rStyle w:val="29"/>
                <w:rFonts w:hint="eastAsia" w:ascii="宋体" w:hAnsi="宋体" w:eastAsia="宋体" w:cstheme="minorBidi"/>
                <w:color w:val="auto"/>
                <w:kern w:val="2"/>
                <w:sz w:val="24"/>
                <w:szCs w:val="24"/>
                <w:highlight w:val="none"/>
                <w:lang w:val="en-US" w:eastAsia="zh-CN" w:bidi="ar-SA"/>
              </w:rPr>
              <w:t>函审</w:t>
            </w:r>
          </w:p>
        </w:tc>
        <w:tc>
          <w:tcPr>
            <w:tcW w:w="887" w:type="pct"/>
            <w:noWrap w:val="0"/>
            <w:tcMar>
              <w:top w:w="100" w:type="dxa"/>
              <w:bottom w:w="100" w:type="dxa"/>
            </w:tcMar>
            <w:vAlign w:val="center"/>
          </w:tcPr>
          <w:p w14:paraId="43F41CE5">
            <w:pPr>
              <w:pStyle w:val="28"/>
              <w:jc w:val="center"/>
              <w:rPr>
                <w:rStyle w:val="29"/>
                <w:rFonts w:hint="default" w:ascii="宋体" w:hAnsi="宋体" w:eastAsia="宋体" w:cstheme="minorBidi"/>
                <w:color w:val="auto"/>
                <w:kern w:val="2"/>
                <w:sz w:val="24"/>
                <w:szCs w:val="24"/>
                <w:highlight w:val="none"/>
                <w:lang w:val="en-US" w:eastAsia="zh-CN" w:bidi="ar-SA"/>
              </w:rPr>
            </w:pPr>
            <w:r>
              <w:rPr>
                <w:rStyle w:val="29"/>
                <w:rFonts w:hint="default" w:ascii="宋体" w:hAnsi="宋体" w:eastAsia="宋体" w:cstheme="minorBidi"/>
                <w:color w:val="auto"/>
                <w:kern w:val="2"/>
                <w:sz w:val="24"/>
                <w:szCs w:val="24"/>
                <w:highlight w:val="none"/>
                <w:lang w:val="en-US" w:eastAsia="zh-CN" w:bidi="ar-SA"/>
              </w:rPr>
              <w:t>4300</w:t>
            </w:r>
          </w:p>
        </w:tc>
        <w:tc>
          <w:tcPr>
            <w:tcW w:w="2479" w:type="pct"/>
            <w:noWrap w:val="0"/>
            <w:tcMar>
              <w:top w:w="100" w:type="dxa"/>
              <w:bottom w:w="100" w:type="dxa"/>
            </w:tcMar>
            <w:vAlign w:val="center"/>
          </w:tcPr>
          <w:p w14:paraId="437F3677">
            <w:pPr>
              <w:pStyle w:val="28"/>
              <w:jc w:val="center"/>
              <w:rPr>
                <w:rFonts w:hint="eastAsia" w:ascii="Times New Roman Regular" w:hAnsi="Times New Roman Regular" w:eastAsia="宋体" w:cs="Times New Roman Regular"/>
                <w:color w:val="auto"/>
                <w:sz w:val="24"/>
                <w:szCs w:val="24"/>
                <w:highlight w:val="none"/>
              </w:rPr>
            </w:pPr>
            <w:r>
              <w:rPr>
                <w:rFonts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440" w:type="pct"/>
            <w:noWrap w:val="0"/>
            <w:tcMar>
              <w:top w:w="100" w:type="dxa"/>
              <w:bottom w:w="100" w:type="dxa"/>
            </w:tcMar>
            <w:vAlign w:val="center"/>
          </w:tcPr>
          <w:p w14:paraId="4A65B4F6">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主要采购标的</w:t>
            </w:r>
          </w:p>
        </w:tc>
        <w:tc>
          <w:tcPr>
            <w:tcW w:w="415" w:type="pct"/>
            <w:noWrap w:val="0"/>
            <w:tcMar>
              <w:top w:w="100" w:type="dxa"/>
              <w:bottom w:w="100" w:type="dxa"/>
            </w:tcMar>
            <w:vAlign w:val="center"/>
          </w:tcPr>
          <w:p w14:paraId="67B78ED9">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服务类</w:t>
            </w:r>
          </w:p>
        </w:tc>
      </w:tr>
      <w:tr w14:paraId="6FAA4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37" w:type="pct"/>
            <w:noWrap w:val="0"/>
            <w:tcMar>
              <w:top w:w="100" w:type="dxa"/>
              <w:bottom w:w="100" w:type="dxa"/>
            </w:tcMar>
            <w:vAlign w:val="center"/>
          </w:tcPr>
          <w:p w14:paraId="2E8D671C">
            <w:pPr>
              <w:pStyle w:val="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540" w:type="pct"/>
            <w:noWrap w:val="0"/>
            <w:tcMar>
              <w:top w:w="100" w:type="dxa"/>
              <w:bottom w:w="100" w:type="dxa"/>
            </w:tcMar>
            <w:vAlign w:val="center"/>
          </w:tcPr>
          <w:p w14:paraId="5F8C12F2">
            <w:pPr>
              <w:pStyle w:val="28"/>
              <w:jc w:val="center"/>
              <w:rPr>
                <w:rStyle w:val="29"/>
                <w:rFonts w:hint="default" w:ascii="宋体" w:hAnsi="宋体" w:eastAsia="宋体" w:cstheme="minorBidi"/>
                <w:color w:val="auto"/>
                <w:sz w:val="24"/>
                <w:szCs w:val="24"/>
                <w:highlight w:val="none"/>
              </w:rPr>
            </w:pPr>
            <w:r>
              <w:rPr>
                <w:rStyle w:val="29"/>
                <w:rFonts w:hint="eastAsia" w:ascii="宋体" w:hAnsi="宋体" w:eastAsia="宋体" w:cstheme="minorBidi"/>
                <w:color w:val="auto"/>
                <w:kern w:val="2"/>
                <w:sz w:val="24"/>
                <w:szCs w:val="24"/>
                <w:highlight w:val="none"/>
                <w:lang w:val="en-US" w:eastAsia="zh-CN" w:bidi="ar-SA"/>
              </w:rPr>
              <w:t>危废处置单位经营许可证技术评估与审查</w:t>
            </w:r>
          </w:p>
        </w:tc>
        <w:tc>
          <w:tcPr>
            <w:tcW w:w="887" w:type="pct"/>
            <w:noWrap w:val="0"/>
            <w:tcMar>
              <w:top w:w="100" w:type="dxa"/>
              <w:bottom w:w="100" w:type="dxa"/>
            </w:tcMar>
            <w:vAlign w:val="center"/>
          </w:tcPr>
          <w:p w14:paraId="034D41DA">
            <w:pPr>
              <w:pStyle w:val="28"/>
              <w:jc w:val="center"/>
              <w:rPr>
                <w:rStyle w:val="29"/>
                <w:rFonts w:hint="eastAsia" w:ascii="宋体" w:hAnsi="宋体" w:eastAsia="宋体" w:cstheme="minorBidi"/>
                <w:color w:val="auto"/>
                <w:kern w:val="2"/>
                <w:sz w:val="24"/>
                <w:szCs w:val="24"/>
                <w:highlight w:val="none"/>
                <w:lang w:val="en-US" w:eastAsia="zh-CN" w:bidi="ar-SA"/>
              </w:rPr>
            </w:pPr>
            <w:r>
              <w:rPr>
                <w:rStyle w:val="29"/>
                <w:rFonts w:hint="eastAsia" w:ascii="宋体" w:hAnsi="宋体" w:eastAsia="宋体" w:cstheme="minorBidi"/>
                <w:color w:val="auto"/>
                <w:kern w:val="2"/>
                <w:sz w:val="24"/>
                <w:szCs w:val="24"/>
                <w:highlight w:val="none"/>
                <w:lang w:val="en-US" w:eastAsia="zh-CN" w:bidi="ar-SA"/>
              </w:rPr>
              <w:t>21000</w:t>
            </w:r>
          </w:p>
        </w:tc>
        <w:tc>
          <w:tcPr>
            <w:tcW w:w="2479" w:type="pct"/>
            <w:noWrap w:val="0"/>
            <w:tcMar>
              <w:top w:w="100" w:type="dxa"/>
              <w:bottom w:w="100" w:type="dxa"/>
            </w:tcMar>
            <w:vAlign w:val="center"/>
          </w:tcPr>
          <w:p w14:paraId="3A70436C">
            <w:pPr>
              <w:pStyle w:val="28"/>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440" w:type="pct"/>
            <w:noWrap w:val="0"/>
            <w:tcMar>
              <w:top w:w="100" w:type="dxa"/>
              <w:bottom w:w="100" w:type="dxa"/>
            </w:tcMar>
            <w:vAlign w:val="center"/>
          </w:tcPr>
          <w:p w14:paraId="45390FA4">
            <w:pPr>
              <w:pStyle w:val="28"/>
              <w:jc w:val="center"/>
              <w:rPr>
                <w:rFonts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主要采购标的</w:t>
            </w:r>
          </w:p>
        </w:tc>
        <w:tc>
          <w:tcPr>
            <w:tcW w:w="415" w:type="pct"/>
            <w:noWrap w:val="0"/>
            <w:tcMar>
              <w:top w:w="100" w:type="dxa"/>
              <w:bottom w:w="100" w:type="dxa"/>
            </w:tcMar>
            <w:vAlign w:val="center"/>
          </w:tcPr>
          <w:p w14:paraId="571AE562">
            <w:pPr>
              <w:pStyle w:val="28"/>
              <w:jc w:val="center"/>
              <w:rPr>
                <w:rFonts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服务类</w:t>
            </w:r>
          </w:p>
        </w:tc>
      </w:tr>
    </w:tbl>
    <w:p w14:paraId="7C269488">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color w:val="auto"/>
          <w:sz w:val="24"/>
          <w:szCs w:val="24"/>
          <w:highlight w:val="none"/>
        </w:rPr>
      </w:pPr>
      <w:r>
        <w:rPr>
          <w:rFonts w:ascii="宋体" w:hAnsi="宋体" w:eastAsia="宋体" w:cs="宋体"/>
          <w:b/>
          <w:bCs/>
          <w:snapToGrid w:val="0"/>
          <w:color w:val="auto"/>
          <w:spacing w:val="7"/>
          <w:kern w:val="0"/>
          <w:sz w:val="24"/>
          <w:szCs w:val="24"/>
          <w:highlight w:val="none"/>
          <w:lang w:eastAsia="en-US"/>
        </w:rPr>
        <w:t>注：1、</w:t>
      </w:r>
      <w:r>
        <w:rPr>
          <w:rFonts w:hint="eastAsia" w:ascii="宋体" w:hAnsi="宋体" w:eastAsia="宋体" w:cs="宋体"/>
          <w:b/>
          <w:bCs/>
          <w:snapToGrid w:val="0"/>
          <w:color w:val="auto"/>
          <w:spacing w:val="7"/>
          <w:kern w:val="0"/>
          <w:sz w:val="24"/>
          <w:szCs w:val="24"/>
          <w:highlight w:val="none"/>
          <w:lang w:eastAsia="zh-CN"/>
        </w:rPr>
        <w:t>供应商</w:t>
      </w:r>
      <w:r>
        <w:rPr>
          <w:rFonts w:ascii="宋体" w:hAnsi="宋体" w:eastAsia="宋体" w:cs="宋体"/>
          <w:b/>
          <w:bCs/>
          <w:snapToGrid w:val="0"/>
          <w:color w:val="auto"/>
          <w:spacing w:val="7"/>
          <w:kern w:val="0"/>
          <w:sz w:val="24"/>
          <w:szCs w:val="24"/>
          <w:highlight w:val="none"/>
          <w:lang w:eastAsia="en-US"/>
        </w:rPr>
        <w:t>根据</w:t>
      </w:r>
      <w:r>
        <w:rPr>
          <w:rFonts w:hint="eastAsia" w:ascii="宋体" w:hAnsi="宋体" w:eastAsia="宋体" w:cs="宋体"/>
          <w:b/>
          <w:bCs/>
          <w:snapToGrid w:val="0"/>
          <w:color w:val="auto"/>
          <w:spacing w:val="6"/>
          <w:kern w:val="0"/>
          <w:sz w:val="24"/>
          <w:szCs w:val="24"/>
          <w:highlight w:val="none"/>
          <w:lang w:val="en-US" w:eastAsia="zh-CN"/>
        </w:rPr>
        <w:t>每项</w:t>
      </w:r>
      <w:r>
        <w:rPr>
          <w:rFonts w:ascii="宋体" w:hAnsi="宋体" w:eastAsia="宋体" w:cs="宋体"/>
          <w:b/>
          <w:bCs/>
          <w:snapToGrid w:val="0"/>
          <w:color w:val="auto"/>
          <w:spacing w:val="7"/>
          <w:kern w:val="0"/>
          <w:sz w:val="24"/>
          <w:szCs w:val="24"/>
          <w:highlight w:val="none"/>
          <w:lang w:eastAsia="en-US"/>
        </w:rPr>
        <w:t>单价最高限价，统一报</w:t>
      </w:r>
      <w:r>
        <w:rPr>
          <w:rFonts w:hint="eastAsia" w:ascii="宋体" w:hAnsi="宋体" w:eastAsia="宋体" w:cs="宋体"/>
          <w:b/>
          <w:bCs/>
          <w:snapToGrid w:val="0"/>
          <w:color w:val="auto"/>
          <w:spacing w:val="7"/>
          <w:kern w:val="0"/>
          <w:sz w:val="24"/>
          <w:szCs w:val="24"/>
          <w:highlight w:val="none"/>
          <w:lang w:val="en-US" w:eastAsia="zh-CN"/>
        </w:rPr>
        <w:t>优惠</w:t>
      </w:r>
      <w:r>
        <w:rPr>
          <w:rFonts w:ascii="宋体" w:hAnsi="宋体" w:eastAsia="宋体" w:cs="宋体"/>
          <w:b/>
          <w:bCs/>
          <w:snapToGrid w:val="0"/>
          <w:color w:val="auto"/>
          <w:spacing w:val="7"/>
          <w:kern w:val="0"/>
          <w:sz w:val="24"/>
          <w:szCs w:val="24"/>
          <w:highlight w:val="none"/>
          <w:lang w:eastAsia="en-US"/>
        </w:rPr>
        <w:t>率。</w:t>
      </w:r>
    </w:p>
    <w:p w14:paraId="0F6B183E">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right="0" w:firstLine="506" w:firstLineChars="200"/>
        <w:jc w:val="left"/>
        <w:textAlignment w:val="baseline"/>
        <w:rPr>
          <w:rFonts w:ascii="宋体" w:hAnsi="宋体" w:eastAsia="宋体" w:cs="宋体"/>
          <w:b/>
          <w:bCs/>
          <w:snapToGrid w:val="0"/>
          <w:color w:val="auto"/>
          <w:spacing w:val="16"/>
          <w:kern w:val="0"/>
          <w:sz w:val="24"/>
          <w:szCs w:val="24"/>
          <w:highlight w:val="none"/>
          <w:lang w:eastAsia="en-US"/>
        </w:rPr>
      </w:pPr>
      <w:r>
        <w:rPr>
          <w:rFonts w:ascii="宋体" w:hAnsi="宋体" w:eastAsia="宋体" w:cs="宋体"/>
          <w:b/>
          <w:bCs/>
          <w:snapToGrid w:val="0"/>
          <w:color w:val="auto"/>
          <w:spacing w:val="6"/>
          <w:kern w:val="0"/>
          <w:sz w:val="24"/>
          <w:szCs w:val="24"/>
          <w:highlight w:val="none"/>
          <w:lang w:eastAsia="en-US"/>
        </w:rPr>
        <w:t>本项目</w:t>
      </w:r>
      <w:r>
        <w:rPr>
          <w:rFonts w:hint="eastAsia" w:ascii="宋体" w:hAnsi="宋体" w:eastAsia="宋体" w:cs="宋体"/>
          <w:b/>
          <w:bCs/>
          <w:color w:val="auto"/>
          <w:sz w:val="24"/>
          <w:szCs w:val="24"/>
          <w:highlight w:val="none"/>
        </w:rPr>
        <w:t>以实际发生评估项目数量为准</w:t>
      </w:r>
      <w:r>
        <w:rPr>
          <w:rFonts w:hint="eastAsia" w:ascii="宋体" w:hAnsi="宋体" w:eastAsia="宋体" w:cs="宋体"/>
          <w:b/>
          <w:bCs/>
          <w:color w:val="auto"/>
          <w:sz w:val="24"/>
          <w:szCs w:val="24"/>
          <w:highlight w:val="none"/>
          <w:lang w:eastAsia="zh-CN"/>
        </w:rPr>
        <w:t>，</w:t>
      </w:r>
      <w:r>
        <w:rPr>
          <w:rFonts w:ascii="宋体" w:hAnsi="宋体" w:eastAsia="宋体" w:cs="宋体"/>
          <w:b/>
          <w:bCs/>
          <w:snapToGrid w:val="0"/>
          <w:color w:val="auto"/>
          <w:spacing w:val="6"/>
          <w:kern w:val="0"/>
          <w:sz w:val="24"/>
          <w:szCs w:val="24"/>
          <w:highlight w:val="none"/>
          <w:lang w:eastAsia="en-US"/>
        </w:rPr>
        <w:t>按实结算，结算单价=</w:t>
      </w:r>
      <w:r>
        <w:rPr>
          <w:rFonts w:hint="eastAsia" w:ascii="宋体" w:hAnsi="宋体" w:eastAsia="宋体" w:cs="宋体"/>
          <w:b/>
          <w:bCs/>
          <w:snapToGrid w:val="0"/>
          <w:color w:val="auto"/>
          <w:spacing w:val="6"/>
          <w:kern w:val="0"/>
          <w:sz w:val="24"/>
          <w:szCs w:val="24"/>
          <w:highlight w:val="none"/>
          <w:lang w:val="en-US" w:eastAsia="zh-CN"/>
        </w:rPr>
        <w:t>每项</w:t>
      </w:r>
      <w:r>
        <w:rPr>
          <w:rFonts w:ascii="宋体" w:hAnsi="宋体" w:eastAsia="宋体" w:cs="宋体"/>
          <w:b/>
          <w:bCs/>
          <w:snapToGrid w:val="0"/>
          <w:color w:val="auto"/>
          <w:spacing w:val="6"/>
          <w:kern w:val="0"/>
          <w:sz w:val="24"/>
          <w:szCs w:val="24"/>
          <w:highlight w:val="none"/>
          <w:lang w:eastAsia="en-US"/>
        </w:rPr>
        <w:t>单价最高限价*</w:t>
      </w:r>
      <w:r>
        <w:rPr>
          <w:rFonts w:hint="eastAsia" w:ascii="宋体" w:hAnsi="宋体" w:eastAsia="宋体" w:cs="Times New Roman"/>
          <w:b/>
          <w:bCs/>
          <w:color w:val="auto"/>
          <w:kern w:val="0"/>
          <w:sz w:val="24"/>
          <w:szCs w:val="24"/>
          <w:highlight w:val="none"/>
          <w:lang w:val="en-US" w:eastAsia="zh-CN"/>
        </w:rPr>
        <w:t>（1-中标优惠率）</w:t>
      </w:r>
      <w:r>
        <w:rPr>
          <w:rFonts w:ascii="宋体" w:hAnsi="宋体" w:eastAsia="宋体" w:cs="宋体"/>
          <w:b/>
          <w:bCs/>
          <w:snapToGrid w:val="0"/>
          <w:color w:val="auto"/>
          <w:spacing w:val="6"/>
          <w:kern w:val="0"/>
          <w:sz w:val="24"/>
          <w:szCs w:val="24"/>
          <w:highlight w:val="none"/>
          <w:lang w:eastAsia="en-US"/>
        </w:rPr>
        <w:t>，最终结算总价</w:t>
      </w:r>
      <w:r>
        <w:rPr>
          <w:rFonts w:ascii="宋体" w:hAnsi="宋体" w:eastAsia="宋体" w:cs="宋体"/>
          <w:b/>
          <w:bCs/>
          <w:snapToGrid w:val="0"/>
          <w:color w:val="auto"/>
          <w:spacing w:val="16"/>
          <w:kern w:val="0"/>
          <w:sz w:val="24"/>
          <w:szCs w:val="24"/>
          <w:highlight w:val="none"/>
          <w:lang w:eastAsia="en-US"/>
        </w:rPr>
        <w:t>不得超过</w:t>
      </w:r>
      <w:r>
        <w:rPr>
          <w:rFonts w:hint="eastAsia" w:ascii="宋体" w:hAnsi="宋体" w:cs="宋体"/>
          <w:b/>
          <w:bCs/>
          <w:snapToGrid w:val="0"/>
          <w:color w:val="auto"/>
          <w:spacing w:val="16"/>
          <w:kern w:val="0"/>
          <w:sz w:val="24"/>
          <w:szCs w:val="24"/>
          <w:highlight w:val="none"/>
          <w:lang w:val="en-US" w:eastAsia="zh-CN"/>
        </w:rPr>
        <w:t>每个标段50</w:t>
      </w:r>
      <w:r>
        <w:rPr>
          <w:rFonts w:hint="eastAsia" w:ascii="宋体" w:hAnsi="宋体" w:eastAsia="宋体" w:cs="宋体"/>
          <w:b/>
          <w:bCs/>
          <w:snapToGrid w:val="0"/>
          <w:color w:val="auto"/>
          <w:spacing w:val="16"/>
          <w:kern w:val="0"/>
          <w:sz w:val="24"/>
          <w:szCs w:val="24"/>
          <w:highlight w:val="none"/>
          <w:lang w:val="en-US" w:eastAsia="zh-CN"/>
        </w:rPr>
        <w:t>万元</w:t>
      </w:r>
      <w:r>
        <w:rPr>
          <w:rFonts w:ascii="宋体" w:hAnsi="宋体" w:eastAsia="宋体" w:cs="宋体"/>
          <w:b/>
          <w:bCs/>
          <w:snapToGrid w:val="0"/>
          <w:color w:val="auto"/>
          <w:spacing w:val="16"/>
          <w:kern w:val="0"/>
          <w:sz w:val="24"/>
          <w:szCs w:val="24"/>
          <w:highlight w:val="none"/>
          <w:lang w:eastAsia="en-US"/>
        </w:rPr>
        <w:t>。</w:t>
      </w:r>
    </w:p>
    <w:p w14:paraId="59BABF1D">
      <w:pPr>
        <w:widowControl w:val="0"/>
        <w:numPr>
          <w:ilvl w:val="0"/>
          <w:numId w:val="0"/>
        </w:numPr>
        <w:adjustRightInd w:val="0"/>
        <w:spacing w:line="312" w:lineRule="atLeast"/>
        <w:jc w:val="both"/>
        <w:textAlignment w:val="baseline"/>
        <w:rPr>
          <w:rFonts w:hint="eastAsia" w:ascii="宋体" w:hAnsiTheme="minorHAnsi" w:eastAsiaTheme="minorEastAsia" w:cstheme="minorBidi"/>
          <w:b/>
          <w:bCs/>
          <w:color w:val="auto"/>
          <w:kern w:val="2"/>
          <w:sz w:val="24"/>
          <w:szCs w:val="24"/>
          <w:highlight w:val="none"/>
          <w:lang w:val="en-US" w:eastAsia="zh-CN" w:bidi="ar-SA"/>
        </w:rPr>
      </w:pPr>
      <w:r>
        <w:rPr>
          <w:rFonts w:hint="eastAsia" w:ascii="宋体" w:hAnsiTheme="minorHAnsi" w:eastAsiaTheme="minorEastAsia" w:cstheme="minorBidi"/>
          <w:b/>
          <w:bCs/>
          <w:color w:val="auto"/>
          <w:kern w:val="2"/>
          <w:sz w:val="24"/>
          <w:szCs w:val="24"/>
          <w:highlight w:val="none"/>
          <w:lang w:val="en-US" w:eastAsia="zh-CN" w:bidi="ar-SA"/>
        </w:rPr>
        <w:t>三、技术要求：</w:t>
      </w:r>
    </w:p>
    <w:tbl>
      <w:tblPr>
        <w:tblStyle w:val="15"/>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1304"/>
        <w:gridCol w:w="7771"/>
      </w:tblGrid>
      <w:tr w14:paraId="1FAD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C8D3C1">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74C326">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3EF9D7">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013C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F9DCD4">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40A01A">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项目简介</w:t>
            </w: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EF897D">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项目背景：为服务我区经济社会发展，提高环境影响评价（以下简称“环评”）文件技术评估效率，规范评估工作程序，提升技术评估质量，省政府办公厅《关于推进企业投资建设项目并联审批规范中介服务的意见》（苏政办发〔2015〕15号）、省环保厅《关于加强环评技术评估工作的通知》（苏环办〔2009〕19号）、省环保厅《关于印发江苏省建设项目环境影响技术评估工作规程的通知》（苏环办〔2017〕280号）、省生态环境厅《关于进一步做好建设项目环境影响报告书（表）编制单位监管工作的通知》（苏环办〔2021〕187号）等有关规定，要求行政机关依法依规组织或者委托开展的评估评审，拟将建设项目环境影响环价技术评估工作委托给专业技术评估单位进行。</w:t>
            </w:r>
          </w:p>
          <w:p w14:paraId="4E63A952">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1.2技术评估范围：</w:t>
            </w:r>
            <w:r>
              <w:rPr>
                <w:rFonts w:hint="eastAsia" w:ascii="宋体" w:hAnsi="宋体" w:eastAsia="宋体" w:cs="宋体"/>
                <w:color w:val="auto"/>
                <w:sz w:val="24"/>
                <w:szCs w:val="24"/>
                <w:highlight w:val="none"/>
                <w:lang w:eastAsia="zh-CN"/>
              </w:rPr>
              <w:t>太仓港经济技术开发区</w:t>
            </w:r>
            <w:r>
              <w:rPr>
                <w:rFonts w:hint="eastAsia" w:ascii="宋体" w:hAnsi="宋体" w:eastAsia="宋体" w:cs="宋体"/>
                <w:color w:val="auto"/>
                <w:sz w:val="24"/>
                <w:szCs w:val="24"/>
                <w:highlight w:val="none"/>
              </w:rPr>
              <w:t>管理委员会负责审批的建设项目中需要进行函审及会审项目。</w:t>
            </w:r>
          </w:p>
          <w:p w14:paraId="040155CB">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基本要求：投标人应对本项目背景作出分析，对整个项目有整体把握，技术方案规划，要全面、先进、合理。对招标文件内容、要求有充分的理解认识，以及提出本项目的环境影响技术评估工作思路，提出针对</w:t>
            </w:r>
            <w:r>
              <w:rPr>
                <w:rFonts w:hint="eastAsia" w:ascii="宋体" w:hAnsi="宋体" w:eastAsia="宋体" w:cs="宋体"/>
                <w:color w:val="auto"/>
                <w:sz w:val="24"/>
                <w:szCs w:val="24"/>
                <w:highlight w:val="none"/>
                <w:lang w:val="en-US" w:eastAsia="zh-CN"/>
              </w:rPr>
              <w:t>太仓港区</w:t>
            </w:r>
            <w:r>
              <w:rPr>
                <w:rFonts w:hint="eastAsia" w:ascii="宋体" w:hAnsi="宋体" w:eastAsia="宋体" w:cs="宋体"/>
                <w:color w:val="auto"/>
                <w:sz w:val="24"/>
                <w:szCs w:val="24"/>
                <w:highlight w:val="none"/>
              </w:rPr>
              <w:t>建设项目的特点分析。</w:t>
            </w:r>
          </w:p>
          <w:p w14:paraId="119E00ED">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Style w:val="29"/>
                <w:rFonts w:hint="eastAsia" w:ascii="宋体" w:hAnsi="宋体" w:eastAsia="宋体" w:cs="宋体"/>
                <w:color w:val="auto"/>
                <w:kern w:val="2"/>
                <w:sz w:val="24"/>
                <w:szCs w:val="24"/>
                <w:highlight w:val="none"/>
                <w:lang w:val="en-US" w:eastAsia="zh-CN" w:bidi="ar-SA"/>
              </w:rPr>
              <w:t>实际服务单位：太仓港经济技术开发区管理委员会。</w:t>
            </w:r>
          </w:p>
        </w:tc>
      </w:tr>
      <w:tr w14:paraId="7714E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7" w:type="pct"/>
            <w:vMerge w:val="restart"/>
            <w:tcBorders>
              <w:left w:val="single" w:color="000000" w:sz="2" w:space="0"/>
              <w:right w:val="single" w:color="000000" w:sz="2" w:space="0"/>
            </w:tcBorders>
            <w:noWrap w:val="0"/>
            <w:tcMar>
              <w:top w:w="100" w:type="dxa"/>
              <w:bottom w:w="100" w:type="dxa"/>
            </w:tcMar>
            <w:vAlign w:val="center"/>
          </w:tcPr>
          <w:p w14:paraId="60D1D8EB">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80" w:type="pct"/>
            <w:vMerge w:val="restart"/>
            <w:tcBorders>
              <w:left w:val="single" w:color="000000" w:sz="2" w:space="0"/>
              <w:right w:val="single" w:color="000000" w:sz="2" w:space="0"/>
            </w:tcBorders>
            <w:noWrap w:val="0"/>
            <w:tcMar>
              <w:top w:w="100" w:type="dxa"/>
              <w:bottom w:w="100" w:type="dxa"/>
            </w:tcMar>
            <w:vAlign w:val="center"/>
          </w:tcPr>
          <w:p w14:paraId="49A060E1">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项目实施工作要求</w:t>
            </w: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31576A">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default" w:ascii="宋体" w:hAnsi="宋体" w:eastAsia="宋体" w:cs="宋体"/>
                <w:color w:val="auto"/>
                <w:sz w:val="24"/>
                <w:szCs w:val="24"/>
                <w:highlight w:val="none"/>
                <w:lang w:val="en-US" w:eastAsia="zh-CN"/>
              </w:rPr>
            </w:pPr>
            <w:r>
              <w:rPr>
                <w:rStyle w:val="29"/>
                <w:rFonts w:hint="eastAsia" w:ascii="宋体" w:hAnsi="宋体" w:eastAsia="宋体" w:cs="宋体"/>
                <w:color w:val="auto"/>
                <w:kern w:val="2"/>
                <w:sz w:val="24"/>
                <w:szCs w:val="24"/>
                <w:highlight w:val="none"/>
                <w:lang w:val="en-US" w:eastAsia="zh-CN" w:bidi="ar-SA"/>
              </w:rPr>
              <w:t>2.1技术评估工作流程：</w:t>
            </w:r>
            <w:r>
              <w:rPr>
                <w:rFonts w:hint="eastAsia" w:ascii="宋体" w:hAnsi="宋体" w:eastAsia="宋体" w:cs="宋体"/>
                <w:color w:val="auto"/>
                <w:sz w:val="24"/>
                <w:szCs w:val="24"/>
                <w:highlight w:val="none"/>
              </w:rPr>
              <w:t>环境影响评价文件技术评估按照《江苏省建设项目环境影响技术评估工作规程》开展</w:t>
            </w:r>
            <w:r>
              <w:rPr>
                <w:rFonts w:hint="eastAsia" w:ascii="宋体" w:hAnsi="宋体" w:eastAsia="宋体" w:cs="宋体"/>
                <w:color w:val="auto"/>
                <w:sz w:val="24"/>
                <w:szCs w:val="24"/>
                <w:highlight w:val="none"/>
                <w:lang w:eastAsia="zh-CN"/>
              </w:rPr>
              <w:t>。</w:t>
            </w:r>
            <w:r>
              <w:rPr>
                <w:rStyle w:val="29"/>
                <w:rFonts w:hint="default" w:cstheme="minorBidi"/>
                <w:color w:val="auto"/>
                <w:kern w:val="2"/>
                <w:sz w:val="24"/>
                <w:szCs w:val="24"/>
                <w:highlight w:val="none"/>
                <w:lang w:val="en-US" w:eastAsia="zh-CN" w:bidi="ar-SA"/>
              </w:rPr>
              <w:t>环境影响报告书技术评估</w:t>
            </w:r>
            <w:r>
              <w:rPr>
                <w:rStyle w:val="29"/>
                <w:rFonts w:hint="eastAsia" w:cstheme="minorBidi"/>
                <w:color w:val="auto"/>
                <w:kern w:val="2"/>
                <w:sz w:val="24"/>
                <w:szCs w:val="24"/>
                <w:highlight w:val="none"/>
                <w:lang w:val="en-US" w:eastAsia="zh-CN" w:bidi="ar-SA"/>
              </w:rPr>
              <w:t>与审查、</w:t>
            </w:r>
            <w:r>
              <w:rPr>
                <w:rStyle w:val="29"/>
                <w:rFonts w:hint="default" w:cstheme="minorBidi"/>
                <w:color w:val="auto"/>
                <w:kern w:val="2"/>
                <w:sz w:val="24"/>
                <w:szCs w:val="24"/>
                <w:highlight w:val="none"/>
                <w:lang w:val="en-US" w:eastAsia="zh-CN" w:bidi="ar-SA"/>
              </w:rPr>
              <w:t>环境影响报告表技术评估</w:t>
            </w:r>
            <w:r>
              <w:rPr>
                <w:rStyle w:val="29"/>
                <w:rFonts w:hint="eastAsia" w:cstheme="minorBidi"/>
                <w:color w:val="auto"/>
                <w:kern w:val="2"/>
                <w:sz w:val="24"/>
                <w:szCs w:val="24"/>
                <w:highlight w:val="none"/>
                <w:lang w:val="en-US" w:eastAsia="zh-CN" w:bidi="ar-SA"/>
              </w:rPr>
              <w:t>与审查、</w:t>
            </w:r>
            <w:r>
              <w:rPr>
                <w:rStyle w:val="29"/>
                <w:rFonts w:hint="eastAsia" w:ascii="宋体" w:hAnsi="宋体" w:eastAsia="宋体" w:cstheme="minorBidi"/>
                <w:color w:val="auto"/>
                <w:kern w:val="2"/>
                <w:sz w:val="24"/>
                <w:szCs w:val="24"/>
                <w:highlight w:val="none"/>
                <w:lang w:val="en-US" w:eastAsia="zh-CN" w:bidi="ar-SA"/>
              </w:rPr>
              <w:t>危废处置单位经营许可证技术评估与审查</w:t>
            </w:r>
            <w:r>
              <w:rPr>
                <w:rFonts w:hint="eastAsia" w:ascii="宋体" w:hAnsi="宋体" w:eastAsia="宋体" w:cs="宋体"/>
                <w:color w:val="auto"/>
                <w:sz w:val="24"/>
                <w:szCs w:val="24"/>
                <w:highlight w:val="none"/>
              </w:rPr>
              <w:t>工作流程</w:t>
            </w:r>
            <w:r>
              <w:rPr>
                <w:rFonts w:hint="eastAsia" w:ascii="宋体" w:hAnsi="宋体" w:eastAsia="宋体" w:cs="宋体"/>
                <w:color w:val="auto"/>
                <w:sz w:val="24"/>
                <w:szCs w:val="24"/>
                <w:highlight w:val="none"/>
                <w:lang w:val="en-US" w:eastAsia="zh-CN"/>
              </w:rPr>
              <w:t>一致，</w:t>
            </w:r>
            <w:r>
              <w:rPr>
                <w:rFonts w:hint="eastAsia" w:ascii="宋体" w:hAnsi="宋体" w:eastAsia="宋体" w:cs="宋体"/>
                <w:color w:val="auto"/>
                <w:sz w:val="24"/>
                <w:szCs w:val="24"/>
                <w:highlight w:val="none"/>
              </w:rPr>
              <w:t>包括项目初审、现场踏勘、</w:t>
            </w:r>
            <w:r>
              <w:rPr>
                <w:rFonts w:hint="eastAsia" w:ascii="宋体" w:hAnsi="宋体" w:eastAsia="宋体" w:cs="宋体"/>
                <w:color w:val="auto"/>
                <w:sz w:val="24"/>
                <w:szCs w:val="24"/>
                <w:highlight w:val="none"/>
                <w:lang w:val="en-US" w:eastAsia="zh-CN"/>
              </w:rPr>
              <w:t>会审（出具</w:t>
            </w:r>
            <w:r>
              <w:rPr>
                <w:rFonts w:hint="eastAsia" w:ascii="宋体" w:hAnsi="宋体" w:eastAsia="宋体" w:cs="宋体"/>
                <w:color w:val="auto"/>
                <w:sz w:val="24"/>
                <w:szCs w:val="24"/>
                <w:highlight w:val="none"/>
              </w:rPr>
              <w:t>专家咨询</w:t>
            </w:r>
            <w:r>
              <w:rPr>
                <w:rFonts w:hint="eastAsia" w:ascii="宋体" w:hAnsi="宋体" w:eastAsia="宋体" w:cs="宋体"/>
                <w:color w:val="auto"/>
                <w:sz w:val="24"/>
                <w:szCs w:val="24"/>
                <w:highlight w:val="none"/>
                <w:lang w:val="en-US" w:eastAsia="zh-CN"/>
              </w:rPr>
              <w:t>意见）</w:t>
            </w:r>
            <w:r>
              <w:rPr>
                <w:rFonts w:hint="eastAsia" w:ascii="宋体" w:hAnsi="宋体" w:eastAsia="宋体" w:cs="宋体"/>
                <w:color w:val="auto"/>
                <w:sz w:val="24"/>
                <w:szCs w:val="24"/>
                <w:highlight w:val="none"/>
              </w:rPr>
              <w:t>、评估报告编制等。</w:t>
            </w:r>
            <w:r>
              <w:rPr>
                <w:rStyle w:val="29"/>
                <w:rFonts w:hint="default" w:ascii="宋体" w:hAnsi="宋体" w:eastAsia="宋体" w:cstheme="minorBidi"/>
                <w:color w:val="auto"/>
                <w:kern w:val="2"/>
                <w:sz w:val="24"/>
                <w:szCs w:val="24"/>
                <w:highlight w:val="none"/>
                <w:lang w:val="en-US" w:eastAsia="zh-CN" w:bidi="ar-SA"/>
              </w:rPr>
              <w:t>环境影响报告表</w:t>
            </w:r>
            <w:r>
              <w:rPr>
                <w:rStyle w:val="29"/>
                <w:rFonts w:hint="eastAsia" w:ascii="宋体" w:hAnsi="宋体" w:eastAsia="宋体" w:cstheme="minorBidi"/>
                <w:color w:val="auto"/>
                <w:kern w:val="2"/>
                <w:sz w:val="24"/>
                <w:szCs w:val="24"/>
                <w:highlight w:val="none"/>
                <w:lang w:val="en-US" w:eastAsia="zh-CN" w:bidi="ar-SA"/>
              </w:rPr>
              <w:t>函审</w:t>
            </w:r>
            <w:r>
              <w:rPr>
                <w:rFonts w:hint="eastAsia" w:ascii="宋体" w:hAnsi="宋体" w:eastAsia="宋体" w:cs="宋体"/>
                <w:color w:val="auto"/>
                <w:sz w:val="24"/>
                <w:szCs w:val="24"/>
                <w:highlight w:val="none"/>
              </w:rPr>
              <w:t>评估工作流程</w:t>
            </w:r>
            <w:r>
              <w:rPr>
                <w:rFonts w:hint="eastAsia" w:ascii="宋体" w:hAnsi="宋体" w:eastAsia="宋体" w:cs="宋体"/>
                <w:color w:val="auto"/>
                <w:sz w:val="24"/>
                <w:szCs w:val="24"/>
                <w:highlight w:val="none"/>
                <w:lang w:val="en-US" w:eastAsia="zh-CN"/>
              </w:rPr>
              <w:t>与上述流程基本一致，区别在于审查形式（前者为会审，后者为函审）</w:t>
            </w:r>
            <w:r>
              <w:rPr>
                <w:rFonts w:hint="eastAsia" w:ascii="宋体" w:hAnsi="宋体" w:eastAsia="宋体" w:cs="宋体"/>
                <w:color w:val="auto"/>
                <w:sz w:val="24"/>
                <w:szCs w:val="24"/>
                <w:highlight w:val="none"/>
              </w:rPr>
              <w:t>。</w:t>
            </w:r>
          </w:p>
        </w:tc>
      </w:tr>
      <w:tr w14:paraId="0323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7" w:type="pct"/>
            <w:vMerge w:val="continue"/>
            <w:tcBorders>
              <w:left w:val="single" w:color="000000" w:sz="2" w:space="0"/>
              <w:right w:val="single" w:color="000000" w:sz="2" w:space="0"/>
            </w:tcBorders>
            <w:noWrap w:val="0"/>
            <w:tcMar>
              <w:top w:w="100" w:type="dxa"/>
              <w:bottom w:w="100" w:type="dxa"/>
            </w:tcMar>
            <w:vAlign w:val="center"/>
          </w:tcPr>
          <w:p w14:paraId="6883F98F">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57231458">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2BD853">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kern w:val="2"/>
                <w:sz w:val="24"/>
                <w:szCs w:val="24"/>
                <w:highlight w:val="none"/>
                <w:lang w:val="en-US" w:eastAsia="zh-CN" w:bidi="ar-SA"/>
              </w:rPr>
            </w:pPr>
            <w:r>
              <w:rPr>
                <w:rStyle w:val="29"/>
                <w:rFonts w:hint="eastAsia" w:ascii="宋体" w:hAnsi="宋体" w:eastAsia="宋体" w:cs="宋体"/>
                <w:color w:val="auto"/>
                <w:kern w:val="2"/>
                <w:sz w:val="24"/>
                <w:szCs w:val="24"/>
                <w:highlight w:val="none"/>
                <w:lang w:val="en-US" w:eastAsia="zh-CN" w:bidi="ar-SA"/>
              </w:rPr>
              <w:t>2.2评估程序：</w:t>
            </w:r>
          </w:p>
          <w:p w14:paraId="398D9E36">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（1）项目初审：</w:t>
            </w:r>
            <w:r>
              <w:rPr>
                <w:rStyle w:val="29"/>
                <w:rFonts w:hint="eastAsia" w:ascii="宋体" w:hAnsi="宋体" w:eastAsia="宋体" w:cs="宋体"/>
                <w:color w:val="auto"/>
                <w:kern w:val="2"/>
                <w:sz w:val="24"/>
                <w:szCs w:val="24"/>
                <w:highlight w:val="none"/>
                <w:lang w:val="en-US" w:eastAsia="zh-CN" w:bidi="ar-SA"/>
              </w:rPr>
              <w:t>按照《建设项目环境影响评价导则总纲》及其他相关导则要求，</w:t>
            </w:r>
            <w:r>
              <w:rPr>
                <w:rFonts w:hint="eastAsia" w:ascii="宋体" w:hAnsi="宋体" w:eastAsia="宋体" w:cs="宋体"/>
                <w:color w:val="auto"/>
                <w:sz w:val="24"/>
                <w:szCs w:val="24"/>
                <w:highlight w:val="none"/>
              </w:rPr>
              <w:t>初步审核建设项目环境影响评价文件，分析需关注的主要环境问题，明确技术评估重点。对建设项目类型及其选址、布局、规模等不符合环境保护法律法规和相关法定规划的，可直接出具技术评估报告，提出环境不可行意见。</w:t>
            </w:r>
          </w:p>
          <w:p w14:paraId="13B3C539">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现场踏勘：采用实地踏勘、视频记录、遥感影像等手段或技术方法，了解建设项目选址、选线所在区域和影响区域的环境状况、环境保护目标分布情况，抽查核实重要敏感目标相关信息，查看改扩建项目现有环保设施建设运行情况等。同步记录现场踏勘情况，并整理存档。</w:t>
            </w:r>
          </w:p>
          <w:p w14:paraId="59750F2C">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会（函）审</w:t>
            </w:r>
            <w:r>
              <w:rPr>
                <w:rFonts w:hint="eastAsia" w:ascii="宋体" w:hAnsi="宋体" w:eastAsia="宋体" w:cs="宋体"/>
                <w:color w:val="auto"/>
                <w:sz w:val="24"/>
                <w:szCs w:val="24"/>
                <w:highlight w:val="none"/>
              </w:rPr>
              <w:t>：选聘专家应符合项目特点。专家应结合专业特长对咨询内容给出明确意见，对</w:t>
            </w:r>
            <w:r>
              <w:rPr>
                <w:rFonts w:hint="eastAsia" w:ascii="宋体" w:hAnsi="宋体" w:eastAsia="宋体" w:cs="宋体"/>
                <w:color w:val="auto"/>
                <w:sz w:val="24"/>
                <w:szCs w:val="24"/>
                <w:highlight w:val="none"/>
                <w:lang w:val="en-US" w:eastAsia="zh-CN"/>
              </w:rPr>
              <w:t>报告</w:t>
            </w:r>
            <w:r>
              <w:rPr>
                <w:rFonts w:hint="eastAsia" w:ascii="宋体" w:hAnsi="宋体" w:eastAsia="宋体" w:cs="宋体"/>
                <w:color w:val="auto"/>
                <w:sz w:val="24"/>
                <w:szCs w:val="24"/>
                <w:highlight w:val="none"/>
              </w:rPr>
              <w:t>编制质量打分，填写专家意见表。评审会应综合专家及参会部门意见形成会议纪要。专家意见表、会议纪要应整理存档。</w:t>
            </w:r>
          </w:p>
          <w:p w14:paraId="3589CFB8">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评估报告编制：技术评估报告应包括评估工作过程、项目概况、环境概况、环境保护措施与污染排放、主要环境影响、评估结论及审批建议等，客观反映技术评估结果，并明确建设项目是否具备环境可行性。</w:t>
            </w:r>
          </w:p>
        </w:tc>
      </w:tr>
      <w:tr w14:paraId="6464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7" w:type="pct"/>
            <w:vMerge w:val="continue"/>
            <w:tcBorders>
              <w:left w:val="single" w:color="000000" w:sz="2" w:space="0"/>
              <w:right w:val="single" w:color="000000" w:sz="2" w:space="0"/>
            </w:tcBorders>
            <w:noWrap w:val="0"/>
            <w:tcMar>
              <w:top w:w="100" w:type="dxa"/>
              <w:bottom w:w="100" w:type="dxa"/>
            </w:tcMar>
            <w:vAlign w:val="center"/>
          </w:tcPr>
          <w:p w14:paraId="285A3945">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12FA08B6">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835138">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Style w:val="29"/>
                <w:rFonts w:hint="eastAsia" w:ascii="宋体" w:hAnsi="宋体" w:eastAsia="宋体" w:cs="宋体"/>
                <w:color w:val="auto"/>
                <w:kern w:val="2"/>
                <w:sz w:val="24"/>
                <w:szCs w:val="24"/>
                <w:highlight w:val="none"/>
                <w:lang w:val="en-US" w:eastAsia="zh-CN" w:bidi="ar-SA"/>
              </w:rPr>
              <w:t>2.3技术要点：</w:t>
            </w:r>
            <w:r>
              <w:rPr>
                <w:rFonts w:hint="eastAsia" w:ascii="宋体" w:hAnsi="宋体" w:eastAsia="宋体" w:cs="宋体"/>
                <w:color w:val="auto"/>
                <w:sz w:val="24"/>
                <w:szCs w:val="24"/>
                <w:highlight w:val="none"/>
              </w:rPr>
              <w:t>环评技术评估单位须遵循科学、客观、公正原则，根据环境保护法律、法规、规章、标准、技术规范等，综合分析项目建设可能造成的环境影响，对项目建设的环境可行性及环境影响评价文件进行客观、公正的技术评估，为环保审批主管部门科学决策提供依据，为项目建设和环境影响评价文件编制提供指导性意见和建议。根据建设项目特点和所在区域环境特征，重点评估建设项目可能产生的环境影响，核实环境影响评价文件采用的技术方法与评价标准的正确性,判断污染防治措施的可行性、环境影响评价结论的准确性，明确评估结论。对建设项目环境保护对策措施提出优化调整建议，对环境影响评价文件编制质量作出评价，并提出修改意见。</w:t>
            </w:r>
          </w:p>
        </w:tc>
      </w:tr>
      <w:tr w14:paraId="2D92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7" w:type="pct"/>
            <w:vMerge w:val="continue"/>
            <w:tcBorders>
              <w:left w:val="single" w:color="000000" w:sz="2" w:space="0"/>
              <w:right w:val="single" w:color="000000" w:sz="2" w:space="0"/>
            </w:tcBorders>
            <w:noWrap w:val="0"/>
            <w:tcMar>
              <w:top w:w="100" w:type="dxa"/>
              <w:bottom w:w="100" w:type="dxa"/>
            </w:tcMar>
            <w:vAlign w:val="center"/>
          </w:tcPr>
          <w:p w14:paraId="78A50F1F">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576D0795">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594119">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rPr>
            </w:pPr>
            <w:r>
              <w:rPr>
                <w:rStyle w:val="29"/>
                <w:rFonts w:hint="eastAsia" w:ascii="宋体" w:hAnsi="宋体" w:eastAsia="宋体" w:cs="宋体"/>
                <w:color w:val="auto"/>
                <w:kern w:val="2"/>
                <w:sz w:val="24"/>
                <w:szCs w:val="24"/>
                <w:highlight w:val="none"/>
                <w:lang w:val="en-US" w:eastAsia="zh-CN" w:bidi="ar-SA"/>
              </w:rPr>
              <w:t>2.4本项目工作的进度安排：</w:t>
            </w:r>
          </w:p>
          <w:p w14:paraId="73575A49">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（1）中标单位按照采购人要求，收到评估委托后</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个工作日内完成</w:t>
            </w:r>
            <w:r>
              <w:rPr>
                <w:rFonts w:hint="eastAsia" w:ascii="Times New Roman Regular" w:hAnsi="Times New Roman Regular" w:eastAsia="宋体" w:cs="Times New Roman Regular"/>
                <w:color w:val="auto"/>
                <w:kern w:val="0"/>
                <w:sz w:val="24"/>
                <w:szCs w:val="24"/>
                <w:highlight w:val="none"/>
                <w:lang w:eastAsia="zh-CN"/>
              </w:rPr>
              <w:t>建设项目环评和危废发证</w:t>
            </w:r>
            <w:r>
              <w:rPr>
                <w:rFonts w:hint="eastAsia" w:ascii="Times New Roman Regular" w:hAnsi="Times New Roman Regular" w:eastAsia="宋体" w:cs="Times New Roman Regular"/>
                <w:color w:val="auto"/>
                <w:kern w:val="0"/>
                <w:sz w:val="24"/>
                <w:szCs w:val="24"/>
                <w:highlight w:val="none"/>
                <w:lang w:val="en-US" w:eastAsia="zh-CN"/>
              </w:rPr>
              <w:t>的</w:t>
            </w:r>
            <w:r>
              <w:rPr>
                <w:rFonts w:hint="eastAsia" w:ascii="宋体" w:hAnsi="宋体" w:eastAsia="宋体" w:cs="宋体"/>
                <w:color w:val="auto"/>
                <w:sz w:val="24"/>
                <w:szCs w:val="24"/>
                <w:highlight w:val="none"/>
              </w:rPr>
              <w:t>技术审查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包含：</w:t>
            </w:r>
            <w:r>
              <w:rPr>
                <w:rFonts w:hint="eastAsia" w:ascii="宋体" w:hAnsi="宋体" w:eastAsia="宋体" w:cs="宋体"/>
                <w:color w:val="auto"/>
                <w:sz w:val="24"/>
                <w:szCs w:val="24"/>
                <w:highlight w:val="none"/>
              </w:rPr>
              <w:t>项目初审、现场踏勘、</w:t>
            </w:r>
            <w:r>
              <w:rPr>
                <w:rFonts w:hint="eastAsia" w:ascii="宋体" w:hAnsi="宋体" w:eastAsia="宋体" w:cs="宋体"/>
                <w:color w:val="auto"/>
                <w:sz w:val="24"/>
                <w:szCs w:val="24"/>
                <w:highlight w:val="none"/>
                <w:lang w:val="en-US" w:eastAsia="zh-CN"/>
              </w:rPr>
              <w:t>会（函）审</w:t>
            </w:r>
            <w:r>
              <w:rPr>
                <w:rFonts w:hint="eastAsia" w:ascii="宋体" w:hAnsi="宋体" w:eastAsia="宋体" w:cs="宋体"/>
                <w:color w:val="auto"/>
                <w:sz w:val="24"/>
                <w:szCs w:val="24"/>
                <w:highlight w:val="none"/>
              </w:rPr>
              <w:t>、评估报告编制等</w:t>
            </w:r>
            <w:r>
              <w:rPr>
                <w:rFonts w:hint="eastAsia" w:ascii="宋体" w:hAnsi="宋体" w:eastAsia="宋体" w:cs="宋体"/>
                <w:color w:val="auto"/>
                <w:sz w:val="24"/>
                <w:szCs w:val="24"/>
                <w:highlight w:val="none"/>
                <w:lang w:val="en-US" w:eastAsia="zh-CN"/>
              </w:rPr>
              <w:t>工作内容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并出具</w:t>
            </w:r>
            <w:r>
              <w:rPr>
                <w:rFonts w:hint="eastAsia" w:ascii="宋体" w:hAnsi="宋体" w:eastAsia="宋体" w:cs="宋体"/>
                <w:color w:val="auto"/>
                <w:sz w:val="24"/>
                <w:szCs w:val="24"/>
                <w:highlight w:val="none"/>
              </w:rPr>
              <w:t>评估报告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特殊评估委托可与招标人商议确定。</w:t>
            </w:r>
          </w:p>
          <w:p w14:paraId="04E1F512">
            <w:pPr>
              <w:pStyle w:val="30"/>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（2）提交的环评文件经初审不合格、环评单位未及时提交环评报告修改稿或修改稿未满足修改要求，环评技术评估单位可以退回环评文件并函告采购人。</w:t>
            </w:r>
          </w:p>
        </w:tc>
      </w:tr>
      <w:tr w14:paraId="2351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7" w:type="pct"/>
            <w:vMerge w:val="continue"/>
            <w:tcBorders>
              <w:left w:val="single" w:color="000000" w:sz="2" w:space="0"/>
              <w:right w:val="single" w:color="000000" w:sz="2" w:space="0"/>
            </w:tcBorders>
            <w:noWrap w:val="0"/>
            <w:tcMar>
              <w:top w:w="100" w:type="dxa"/>
              <w:bottom w:w="100" w:type="dxa"/>
            </w:tcMar>
            <w:vAlign w:val="center"/>
          </w:tcPr>
          <w:p w14:paraId="374DB526">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5593FCBB">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719F76">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2.5专家评审流程：</w:t>
            </w:r>
          </w:p>
          <w:p w14:paraId="359948DF">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（1）本项目中标人在组织专家评审会前，中标人所选聘的专家须具备</w:t>
            </w:r>
            <w:r>
              <w:rPr>
                <w:rStyle w:val="29"/>
                <w:rFonts w:hint="eastAsia" w:ascii="宋体" w:hAnsi="宋体" w:eastAsia="宋体" w:cs="宋体"/>
                <w:color w:val="auto"/>
                <w:sz w:val="24"/>
                <w:szCs w:val="24"/>
                <w:highlight w:val="none"/>
                <w:lang w:val="en-US" w:eastAsia="zh-CN"/>
              </w:rPr>
              <w:t>生态环境等相关专业</w:t>
            </w:r>
            <w:r>
              <w:rPr>
                <w:rStyle w:val="29"/>
                <w:rFonts w:hint="eastAsia" w:ascii="宋体" w:hAnsi="宋体" w:eastAsia="宋体" w:cs="宋体"/>
                <w:color w:val="auto"/>
                <w:sz w:val="24"/>
                <w:szCs w:val="24"/>
                <w:highlight w:val="none"/>
              </w:rPr>
              <w:t>高级职称且选聘人数应达到相应比例（视具体建设项目情况），确保环评技术评估的工作高质量按时完成。所选聘专家在开展评审工作前二个工作日需到采购单位备案并征得采购单位同意后方可实施。</w:t>
            </w:r>
          </w:p>
          <w:p w14:paraId="69D71A25">
            <w:pPr>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2）专家咨询可采用召开专家评审会或函审方式。选聘专家应符合项目特点。专家应结合专业特长对咨询内容给出明确意见，对环境影响评价文件编制质量打分，填写专家意见表。评审会应综合专家及参会部门意见形成会议纪要。专家意见表、会议纪要应整理存档。</w:t>
            </w:r>
          </w:p>
        </w:tc>
      </w:tr>
      <w:tr w14:paraId="08A7D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7" w:type="pct"/>
            <w:vMerge w:val="continue"/>
            <w:tcBorders>
              <w:left w:val="single" w:color="000000" w:sz="2" w:space="0"/>
              <w:right w:val="single" w:color="000000" w:sz="2" w:space="0"/>
            </w:tcBorders>
            <w:noWrap w:val="0"/>
            <w:tcMar>
              <w:top w:w="100" w:type="dxa"/>
              <w:bottom w:w="100" w:type="dxa"/>
            </w:tcMar>
            <w:vAlign w:val="center"/>
          </w:tcPr>
          <w:p w14:paraId="1312DBD1">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16BD2A59">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815936">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2.6评估服务保障流程：</w:t>
            </w:r>
          </w:p>
          <w:p w14:paraId="12646535">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（1）投标人独立承担服务中的各类责任（安全责任、用工责任和经济责任等）。</w:t>
            </w:r>
          </w:p>
          <w:p w14:paraId="5DF0ED55">
            <w:pPr>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2）投标人在投标文件中所提供的服务人员名单须相对固定，如有人员调整须在合同签订前征得采购人同意，否则采购人有权终止合同。投标人在履行合同期间，若所提供的服务不能令采购人满意，如减少双方约定的服务范围，服务人员的素质水平、工作态度等，则采购人有权要求中标人在指定时间内更换管理及服务人员。</w:t>
            </w:r>
          </w:p>
          <w:p w14:paraId="0B1E7CF1">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（3）严禁将承包的服务转包给他人。</w:t>
            </w:r>
          </w:p>
          <w:p w14:paraId="1E2F642A">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4）应能保证所提供的技术评估意见涉及到的知识产权是合法取得，并享有完整的知识产权，不会因为采购单位及实际服务单位的使用而被责令停止使用、追偿或要求赔偿损失，如出现此情况，一切经济和法律责任均由中标单位承担。</w:t>
            </w:r>
          </w:p>
          <w:p w14:paraId="585E2A5C">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（5）采购单位有权检查监督中标单位服务质量，对不称职的工作人员有权要求中标单位在一周内更换，直至人选合格为止（所更换的人员不得低于原招标响应人员要求）。</w:t>
            </w:r>
          </w:p>
        </w:tc>
      </w:tr>
      <w:tr w14:paraId="3930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5BAE8B96">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p w14:paraId="6BD6CFBB">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default" w:ascii="宋体" w:hAnsi="宋体" w:eastAsia="宋体" w:cs="宋体"/>
                <w:color w:val="auto"/>
                <w:sz w:val="24"/>
                <w:szCs w:val="24"/>
                <w:highlight w:val="none"/>
                <w:lang w:val="en-US" w:eastAsia="zh-CN"/>
              </w:rPr>
            </w:pPr>
          </w:p>
        </w:tc>
        <w:tc>
          <w:tcPr>
            <w:tcW w:w="680"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5F1A5159">
            <w:pPr>
              <w:keepNext w:val="0"/>
              <w:keepLines w:val="0"/>
              <w:pageBreakBefore w:val="0"/>
              <w:kinsoku/>
              <w:wordWrap/>
              <w:overflowPunct/>
              <w:topLinePunct w:val="0"/>
              <w:autoSpaceDE/>
              <w:autoSpaceDN/>
              <w:bidi w:val="0"/>
              <w:adjustRightInd w:val="0"/>
              <w:snapToGrid w:val="0"/>
              <w:spacing w:line="440" w:lineRule="exact"/>
              <w:jc w:val="center"/>
              <w:textAlignment w:val="auto"/>
              <w:rPr>
                <w:rStyle w:val="29"/>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环评和危废发证技术评估</w:t>
            </w:r>
            <w:r>
              <w:rPr>
                <w:rStyle w:val="33"/>
                <w:rFonts w:ascii="宋体" w:hAnsi="宋体" w:eastAsia="宋体" w:cs="宋体"/>
                <w:b w:val="0"/>
                <w:i w:val="0"/>
                <w:color w:val="auto"/>
                <w:sz w:val="24"/>
                <w:szCs w:val="24"/>
                <w:highlight w:val="none"/>
                <w:u w:val="none"/>
              </w:rPr>
              <w:t>内容及要求</w:t>
            </w: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24500F">
            <w:pPr>
              <w:pStyle w:val="30"/>
              <w:keepNext w:val="0"/>
              <w:keepLines w:val="0"/>
              <w:pageBreakBefore w:val="0"/>
              <w:kinsoku/>
              <w:wordWrap/>
              <w:overflowPunct/>
              <w:topLinePunct w:val="0"/>
              <w:autoSpaceDE/>
              <w:autoSpaceDN/>
              <w:bidi w:val="0"/>
              <w:adjustRightInd/>
              <w:snapToGrid/>
              <w:spacing w:line="360" w:lineRule="auto"/>
              <w:jc w:val="left"/>
              <w:textAlignment w:val="auto"/>
              <w:rPr>
                <w:rStyle w:val="29"/>
                <w:rFonts w:hint="eastAsia" w:ascii="宋体" w:hAnsi="宋体" w:eastAsia="宋体" w:cs="宋体"/>
                <w:color w:val="auto"/>
                <w:sz w:val="24"/>
                <w:szCs w:val="24"/>
                <w:highlight w:val="none"/>
              </w:rPr>
            </w:pPr>
            <w:r>
              <w:rPr>
                <w:rFonts w:hint="eastAsia" w:ascii="宋体" w:hAnsi="宋体" w:eastAsia="宋体" w:cs="宋体"/>
                <w:b w:val="0"/>
                <w:i w:val="0"/>
                <w:color w:val="auto"/>
                <w:kern w:val="2"/>
                <w:sz w:val="24"/>
                <w:szCs w:val="24"/>
                <w:highlight w:val="none"/>
                <w:u w:val="none"/>
                <w:lang w:val="en-US" w:eastAsia="zh-CN" w:bidi="ar-SA"/>
              </w:rPr>
              <w:t>3.1</w:t>
            </w:r>
            <w:r>
              <w:rPr>
                <w:rFonts w:hint="eastAsia" w:ascii="宋体" w:hAnsi="宋体" w:cs="宋体"/>
                <w:color w:val="auto"/>
                <w:sz w:val="24"/>
                <w:szCs w:val="24"/>
                <w:highlight w:val="none"/>
                <w:lang w:eastAsia="zh-CN"/>
              </w:rPr>
              <w:t>环评和危废发证技术评估</w:t>
            </w:r>
            <w:r>
              <w:rPr>
                <w:rFonts w:ascii="宋体" w:hAnsi="宋体" w:eastAsia="宋体" w:cs="宋体"/>
                <w:b w:val="0"/>
                <w:i w:val="0"/>
                <w:color w:val="auto"/>
                <w:kern w:val="2"/>
                <w:sz w:val="24"/>
                <w:szCs w:val="24"/>
                <w:highlight w:val="none"/>
                <w:u w:val="none"/>
                <w:lang w:val="en-US" w:eastAsia="zh-CN" w:bidi="ar-SA"/>
              </w:rPr>
              <w:t>按照《江苏省建设项目环境影响技术评估工作规程》</w:t>
            </w:r>
            <w:r>
              <w:rPr>
                <w:rFonts w:hint="eastAsia" w:ascii="宋体" w:hAnsi="宋体" w:eastAsia="宋体" w:cs="宋体"/>
                <w:b w:val="0"/>
                <w:i w:val="0"/>
                <w:color w:val="auto"/>
                <w:kern w:val="2"/>
                <w:sz w:val="24"/>
                <w:szCs w:val="24"/>
                <w:highlight w:val="none"/>
                <w:u w:val="none"/>
                <w:lang w:val="en-US" w:eastAsia="zh-CN" w:bidi="ar-SA"/>
              </w:rPr>
              <w:t>等文件要求</w:t>
            </w:r>
            <w:r>
              <w:rPr>
                <w:rFonts w:ascii="宋体" w:hAnsi="宋体" w:eastAsia="宋体" w:cs="宋体"/>
                <w:b w:val="0"/>
                <w:i w:val="0"/>
                <w:color w:val="auto"/>
                <w:kern w:val="2"/>
                <w:sz w:val="24"/>
                <w:szCs w:val="24"/>
                <w:highlight w:val="none"/>
                <w:u w:val="none"/>
                <w:lang w:val="en-US" w:eastAsia="zh-CN" w:bidi="ar-SA"/>
              </w:rPr>
              <w:t>开展，评估工作流程主要包括项目初审、现场踏勘、</w:t>
            </w:r>
            <w:r>
              <w:rPr>
                <w:rFonts w:hint="eastAsia" w:ascii="宋体" w:hAnsi="宋体" w:eastAsia="宋体" w:cs="宋体"/>
                <w:b w:val="0"/>
                <w:i w:val="0"/>
                <w:color w:val="auto"/>
                <w:kern w:val="2"/>
                <w:sz w:val="24"/>
                <w:szCs w:val="24"/>
                <w:highlight w:val="none"/>
                <w:u w:val="none"/>
                <w:lang w:val="en-US" w:eastAsia="zh-CN" w:bidi="ar-SA"/>
              </w:rPr>
              <w:t>会（函）审</w:t>
            </w:r>
            <w:r>
              <w:rPr>
                <w:rFonts w:ascii="宋体" w:hAnsi="宋体" w:eastAsia="宋体" w:cs="宋体"/>
                <w:b w:val="0"/>
                <w:i w:val="0"/>
                <w:color w:val="auto"/>
                <w:kern w:val="2"/>
                <w:sz w:val="24"/>
                <w:szCs w:val="24"/>
                <w:highlight w:val="none"/>
                <w:u w:val="none"/>
                <w:lang w:val="en-US" w:eastAsia="zh-CN" w:bidi="ar-SA"/>
              </w:rPr>
              <w:t>、评估报告编制等。</w:t>
            </w:r>
          </w:p>
        </w:tc>
      </w:tr>
      <w:tr w14:paraId="0DC30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continue"/>
            <w:tcBorders>
              <w:left w:val="single" w:color="000000" w:sz="2" w:space="0"/>
              <w:right w:val="single" w:color="000000" w:sz="2" w:space="0"/>
            </w:tcBorders>
            <w:noWrap w:val="0"/>
            <w:tcMar>
              <w:top w:w="100" w:type="dxa"/>
              <w:bottom w:w="100" w:type="dxa"/>
            </w:tcMar>
            <w:vAlign w:val="center"/>
          </w:tcPr>
          <w:p w14:paraId="2F65CF4E">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2132EDE7">
            <w:pPr>
              <w:keepNext w:val="0"/>
              <w:keepLines w:val="0"/>
              <w:pageBreakBefore w:val="0"/>
              <w:kinsoku/>
              <w:wordWrap/>
              <w:overflowPunct/>
              <w:topLinePunct w:val="0"/>
              <w:autoSpaceDE/>
              <w:autoSpaceDN/>
              <w:bidi w:val="0"/>
              <w:adjustRightInd w:val="0"/>
              <w:snapToGrid w:val="0"/>
              <w:spacing w:line="440" w:lineRule="exact"/>
              <w:jc w:val="center"/>
              <w:textAlignment w:val="auto"/>
              <w:rPr>
                <w:rStyle w:val="29"/>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AED688">
            <w:pPr>
              <w:pStyle w:val="30"/>
              <w:keepNext w:val="0"/>
              <w:keepLines w:val="0"/>
              <w:pageBreakBefore w:val="0"/>
              <w:kinsoku/>
              <w:wordWrap/>
              <w:overflowPunct/>
              <w:topLinePunct w:val="0"/>
              <w:autoSpaceDE/>
              <w:autoSpaceDN/>
              <w:bidi w:val="0"/>
              <w:adjustRightInd/>
              <w:snapToGrid/>
              <w:spacing w:line="360" w:lineRule="auto"/>
              <w:jc w:val="left"/>
              <w:textAlignment w:val="auto"/>
              <w:rPr>
                <w:rStyle w:val="29"/>
                <w:rFonts w:hint="eastAsia" w:ascii="宋体" w:hAnsi="宋体" w:eastAsia="宋体" w:cs="宋体"/>
                <w:color w:val="auto"/>
                <w:sz w:val="24"/>
                <w:szCs w:val="24"/>
                <w:highlight w:val="none"/>
              </w:rPr>
            </w:pPr>
            <w:r>
              <w:rPr>
                <w:rFonts w:ascii="宋体" w:hAnsi="宋体" w:eastAsia="宋体" w:cs="宋体"/>
                <w:b w:val="0"/>
                <w:i w:val="0"/>
                <w:color w:val="auto"/>
                <w:kern w:val="2"/>
                <w:sz w:val="24"/>
                <w:szCs w:val="24"/>
                <w:highlight w:val="none"/>
                <w:u w:val="none"/>
                <w:lang w:val="en-US" w:eastAsia="zh-CN" w:bidi="ar-SA"/>
              </w:rPr>
              <w:t>（一）项目初审。按照《建设项目环境影响评价导则  总纲》及其他相关导则要求，初步审核建设项目环境影响评价文件，分析需关注的主要环境问题，明确技术评估重点。对建设项目类型及其选址、布局、规模等不符合环境保护法律法规和相关法定规划的，可直接出具技术评估报告，提出环境不可行意见。</w:t>
            </w:r>
          </w:p>
        </w:tc>
      </w:tr>
      <w:tr w14:paraId="766EF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continue"/>
            <w:tcBorders>
              <w:left w:val="single" w:color="000000" w:sz="2" w:space="0"/>
              <w:right w:val="single" w:color="000000" w:sz="2" w:space="0"/>
            </w:tcBorders>
            <w:noWrap w:val="0"/>
            <w:tcMar>
              <w:top w:w="100" w:type="dxa"/>
              <w:bottom w:w="100" w:type="dxa"/>
            </w:tcMar>
            <w:vAlign w:val="center"/>
          </w:tcPr>
          <w:p w14:paraId="44E8FAB7">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49679107">
            <w:pPr>
              <w:keepNext w:val="0"/>
              <w:keepLines w:val="0"/>
              <w:pageBreakBefore w:val="0"/>
              <w:kinsoku/>
              <w:wordWrap/>
              <w:overflowPunct/>
              <w:topLinePunct w:val="0"/>
              <w:autoSpaceDE/>
              <w:autoSpaceDN/>
              <w:bidi w:val="0"/>
              <w:adjustRightInd w:val="0"/>
              <w:snapToGrid w:val="0"/>
              <w:spacing w:line="440" w:lineRule="exact"/>
              <w:jc w:val="center"/>
              <w:textAlignment w:val="auto"/>
              <w:rPr>
                <w:rStyle w:val="29"/>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D98690">
            <w:pPr>
              <w:pStyle w:val="30"/>
              <w:keepNext w:val="0"/>
              <w:keepLines w:val="0"/>
              <w:pageBreakBefore w:val="0"/>
              <w:kinsoku/>
              <w:wordWrap/>
              <w:overflowPunct/>
              <w:topLinePunct w:val="0"/>
              <w:autoSpaceDE/>
              <w:autoSpaceDN/>
              <w:bidi w:val="0"/>
              <w:adjustRightInd/>
              <w:snapToGrid/>
              <w:spacing w:line="360" w:lineRule="auto"/>
              <w:jc w:val="left"/>
              <w:textAlignment w:val="auto"/>
              <w:rPr>
                <w:rStyle w:val="29"/>
                <w:rFonts w:hint="eastAsia" w:ascii="宋体" w:hAnsi="宋体" w:eastAsia="宋体" w:cs="宋体"/>
                <w:color w:val="auto"/>
                <w:sz w:val="24"/>
                <w:szCs w:val="24"/>
                <w:highlight w:val="none"/>
              </w:rPr>
            </w:pPr>
            <w:r>
              <w:rPr>
                <w:rFonts w:ascii="宋体" w:hAnsi="宋体" w:eastAsia="宋体" w:cs="宋体"/>
                <w:b w:val="0"/>
                <w:i w:val="0"/>
                <w:color w:val="auto"/>
                <w:kern w:val="2"/>
                <w:sz w:val="24"/>
                <w:szCs w:val="24"/>
                <w:highlight w:val="none"/>
                <w:u w:val="none"/>
                <w:lang w:val="en-US" w:eastAsia="zh-CN" w:bidi="ar-SA"/>
              </w:rPr>
              <w:t>（二）现场踏勘。采用实地踏勘、视频记录、遥感影像等手段或技术方法，了解建设项目选址、选线所在区域和影响区域的环境状况、环境保护目标分布情况，抽查核实重要敏感目标相关信息，查看改扩建项目现有环保设施建设运行情况等，同步记录现场踏勘情况，并整理归档。</w:t>
            </w:r>
          </w:p>
        </w:tc>
      </w:tr>
      <w:tr w14:paraId="3470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continue"/>
            <w:tcBorders>
              <w:left w:val="single" w:color="000000" w:sz="2" w:space="0"/>
              <w:right w:val="single" w:color="000000" w:sz="2" w:space="0"/>
            </w:tcBorders>
            <w:noWrap w:val="0"/>
            <w:tcMar>
              <w:top w:w="100" w:type="dxa"/>
              <w:bottom w:w="100" w:type="dxa"/>
            </w:tcMar>
            <w:vAlign w:val="center"/>
          </w:tcPr>
          <w:p w14:paraId="05D52165">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2CB393E1">
            <w:pPr>
              <w:keepNext w:val="0"/>
              <w:keepLines w:val="0"/>
              <w:pageBreakBefore w:val="0"/>
              <w:kinsoku/>
              <w:wordWrap/>
              <w:overflowPunct/>
              <w:topLinePunct w:val="0"/>
              <w:autoSpaceDE/>
              <w:autoSpaceDN/>
              <w:bidi w:val="0"/>
              <w:adjustRightInd w:val="0"/>
              <w:snapToGrid w:val="0"/>
              <w:spacing w:line="440" w:lineRule="exact"/>
              <w:jc w:val="center"/>
              <w:textAlignment w:val="auto"/>
              <w:rPr>
                <w:rStyle w:val="29"/>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F26EA6">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rPr>
            </w:pPr>
            <w:r>
              <w:rPr>
                <w:rFonts w:hint="eastAsia" w:ascii="宋体" w:hAnsi="宋体" w:cs="宋体"/>
                <w:b w:val="0"/>
                <w:i w:val="0"/>
                <w:color w:val="auto"/>
                <w:sz w:val="24"/>
                <w:szCs w:val="24"/>
                <w:highlight w:val="none"/>
                <w:u w:val="none"/>
                <w:lang w:val="en-US" w:eastAsia="zh-CN"/>
              </w:rPr>
              <w:t>3.2</w:t>
            </w:r>
            <w:r>
              <w:rPr>
                <w:rFonts w:ascii="宋体" w:hAnsi="宋体" w:eastAsia="宋体" w:cs="宋体"/>
                <w:b w:val="0"/>
                <w:i w:val="0"/>
                <w:color w:val="auto"/>
                <w:sz w:val="24"/>
                <w:szCs w:val="24"/>
                <w:highlight w:val="none"/>
                <w:u w:val="none"/>
              </w:rPr>
              <w:t>提交的环评文件经初审不合格、环评单位未及时提交环评报告修改稿或修改稿未满足修改要求，投标单位可以退回环评文件并函告采购方。</w:t>
            </w:r>
          </w:p>
        </w:tc>
      </w:tr>
      <w:tr w14:paraId="0358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continue"/>
            <w:tcBorders>
              <w:left w:val="single" w:color="000000" w:sz="2" w:space="0"/>
              <w:right w:val="single" w:color="000000" w:sz="2" w:space="0"/>
            </w:tcBorders>
            <w:noWrap w:val="0"/>
            <w:tcMar>
              <w:top w:w="100" w:type="dxa"/>
              <w:bottom w:w="100" w:type="dxa"/>
            </w:tcMar>
            <w:vAlign w:val="center"/>
          </w:tcPr>
          <w:p w14:paraId="3B7422B0">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63B2BE54">
            <w:pPr>
              <w:keepNext w:val="0"/>
              <w:keepLines w:val="0"/>
              <w:pageBreakBefore w:val="0"/>
              <w:kinsoku/>
              <w:wordWrap/>
              <w:overflowPunct/>
              <w:topLinePunct w:val="0"/>
              <w:autoSpaceDE/>
              <w:autoSpaceDN/>
              <w:bidi w:val="0"/>
              <w:adjustRightInd w:val="0"/>
              <w:snapToGrid w:val="0"/>
              <w:spacing w:line="440" w:lineRule="exact"/>
              <w:jc w:val="center"/>
              <w:textAlignment w:val="auto"/>
              <w:rPr>
                <w:rStyle w:val="29"/>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ABA921">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eastAsia="宋体" w:cs="宋体"/>
                <w:color w:val="auto"/>
                <w:sz w:val="24"/>
                <w:szCs w:val="24"/>
                <w:highlight w:val="none"/>
                <w:lang w:eastAsia="zh-CN"/>
              </w:rPr>
            </w:pPr>
            <w:r>
              <w:rPr>
                <w:rFonts w:hint="eastAsia" w:ascii="宋体" w:hAnsi="宋体" w:cs="宋体"/>
                <w:b w:val="0"/>
                <w:i w:val="0"/>
                <w:color w:val="auto"/>
                <w:sz w:val="24"/>
                <w:szCs w:val="24"/>
                <w:highlight w:val="none"/>
                <w:u w:val="none"/>
                <w:lang w:val="en-US" w:eastAsia="zh-CN"/>
              </w:rPr>
              <w:t>3.3</w:t>
            </w:r>
            <w:r>
              <w:rPr>
                <w:rFonts w:ascii="宋体" w:hAnsi="宋体" w:eastAsia="宋体" w:cs="宋体"/>
                <w:b w:val="0"/>
                <w:i w:val="0"/>
                <w:color w:val="auto"/>
                <w:sz w:val="24"/>
                <w:szCs w:val="24"/>
                <w:highlight w:val="none"/>
                <w:u w:val="none"/>
              </w:rPr>
              <w:t>投标单位应按照《</w:t>
            </w:r>
            <w:r>
              <w:rPr>
                <w:rFonts w:hint="eastAsia" w:ascii="宋体" w:hAnsi="宋体" w:eastAsia="宋体" w:cs="宋体"/>
                <w:b w:val="0"/>
                <w:i w:val="0"/>
                <w:color w:val="auto"/>
                <w:sz w:val="24"/>
                <w:szCs w:val="24"/>
                <w:highlight w:val="none"/>
                <w:u w:val="none"/>
              </w:rPr>
              <w:t>太仓</w:t>
            </w:r>
            <w:r>
              <w:rPr>
                <w:rFonts w:ascii="宋体" w:hAnsi="宋体" w:eastAsia="宋体" w:cs="宋体"/>
                <w:b w:val="0"/>
                <w:i w:val="0"/>
                <w:color w:val="auto"/>
                <w:sz w:val="24"/>
                <w:szCs w:val="24"/>
                <w:highlight w:val="none"/>
                <w:u w:val="none"/>
              </w:rPr>
              <w:t>市环境影响评价机构信用等级管理办法（试行）》的要求，</w:t>
            </w:r>
            <w:r>
              <w:rPr>
                <w:rFonts w:hint="eastAsia" w:ascii="宋体" w:hAnsi="宋体" w:cs="宋体"/>
                <w:b w:val="0"/>
                <w:i w:val="0"/>
                <w:color w:val="auto"/>
                <w:sz w:val="24"/>
                <w:szCs w:val="24"/>
                <w:highlight w:val="none"/>
                <w:u w:val="none"/>
                <w:lang w:val="en-US" w:eastAsia="zh-CN"/>
              </w:rPr>
              <w:t>合同结束期</w:t>
            </w:r>
            <w:r>
              <w:rPr>
                <w:rFonts w:ascii="宋体" w:hAnsi="宋体" w:eastAsia="宋体" w:cs="宋体"/>
                <w:b w:val="0"/>
                <w:i w:val="0"/>
                <w:color w:val="auto"/>
                <w:sz w:val="24"/>
                <w:szCs w:val="24"/>
                <w:highlight w:val="none"/>
                <w:u w:val="none"/>
              </w:rPr>
              <w:t>对采购单位审批的</w:t>
            </w:r>
            <w:r>
              <w:rPr>
                <w:rFonts w:hint="eastAsia" w:ascii="宋体" w:hAnsi="宋体" w:cs="宋体"/>
                <w:b w:val="0"/>
                <w:i w:val="0"/>
                <w:color w:val="auto"/>
                <w:sz w:val="24"/>
                <w:szCs w:val="24"/>
                <w:highlight w:val="none"/>
                <w:u w:val="none"/>
                <w:lang w:val="en-US" w:eastAsia="zh-CN"/>
              </w:rPr>
              <w:t>报告</w:t>
            </w:r>
            <w:r>
              <w:rPr>
                <w:rFonts w:ascii="宋体" w:hAnsi="宋体" w:eastAsia="宋体" w:cs="宋体"/>
                <w:b w:val="0"/>
                <w:i w:val="0"/>
                <w:color w:val="auto"/>
                <w:sz w:val="24"/>
                <w:szCs w:val="24"/>
                <w:highlight w:val="none"/>
                <w:u w:val="none"/>
              </w:rPr>
              <w:t>进行抽查考核，考核结果报采购单位。</w:t>
            </w:r>
          </w:p>
        </w:tc>
      </w:tr>
      <w:tr w14:paraId="0F847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EED32C">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6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7A0520">
            <w:pPr>
              <w:keepNext w:val="0"/>
              <w:keepLines w:val="0"/>
              <w:pageBreakBefore w:val="0"/>
              <w:kinsoku/>
              <w:wordWrap/>
              <w:overflowPunct/>
              <w:topLinePunct w:val="0"/>
              <w:autoSpaceDE/>
              <w:autoSpaceDN/>
              <w:bidi w:val="0"/>
              <w:adjustRightInd w:val="0"/>
              <w:snapToGrid w:val="0"/>
              <w:spacing w:line="440" w:lineRule="exact"/>
              <w:jc w:val="center"/>
              <w:textAlignment w:val="auto"/>
              <w:rPr>
                <w:rStyle w:val="29"/>
                <w:rFonts w:hint="eastAsia" w:ascii="宋体" w:hAnsi="宋体" w:eastAsia="宋体" w:cs="宋体"/>
                <w:color w:val="auto"/>
                <w:sz w:val="24"/>
                <w:szCs w:val="24"/>
                <w:highlight w:val="none"/>
              </w:rPr>
            </w:pPr>
            <w:r>
              <w:rPr>
                <w:rStyle w:val="29"/>
                <w:rFonts w:hint="eastAsia" w:ascii="宋体" w:hAnsi="宋体" w:eastAsia="宋体" w:cs="宋体"/>
                <w:color w:val="auto"/>
                <w:sz w:val="24"/>
                <w:szCs w:val="24"/>
                <w:highlight w:val="none"/>
              </w:rPr>
              <w:t>人员配备要求</w:t>
            </w: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D7F55C">
            <w:pPr>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Style w:val="29"/>
                <w:rFonts w:hint="eastAsia" w:ascii="宋体" w:hAnsi="宋体" w:cs="宋体"/>
                <w:color w:val="auto"/>
                <w:sz w:val="24"/>
                <w:szCs w:val="24"/>
                <w:highlight w:val="none"/>
                <w:lang w:val="en-US" w:eastAsia="zh-CN"/>
              </w:rPr>
              <w:t>4</w:t>
            </w:r>
            <w:r>
              <w:rPr>
                <w:rStyle w:val="29"/>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项目负责人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项目负责人1人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要求经验丰富的复合型专业人员，作为整个项目团队的领导者，具有</w:t>
            </w:r>
            <w:r>
              <w:rPr>
                <w:rFonts w:hint="eastAsia" w:ascii="宋体" w:hAnsi="宋体" w:eastAsia="宋体" w:cs="宋体"/>
                <w:snapToGrid w:val="0"/>
                <w:color w:val="auto"/>
                <w:spacing w:val="7"/>
                <w:kern w:val="0"/>
                <w:sz w:val="24"/>
                <w:szCs w:val="24"/>
                <w:highlight w:val="none"/>
                <w:lang w:eastAsia="zh-CN"/>
              </w:rPr>
              <w:t>供应商</w:t>
            </w:r>
            <w:r>
              <w:rPr>
                <w:rFonts w:hint="eastAsia" w:ascii="宋体" w:hAnsi="宋体" w:eastAsia="宋体" w:cs="宋体"/>
                <w:color w:val="auto"/>
                <w:sz w:val="24"/>
                <w:szCs w:val="24"/>
                <w:highlight w:val="none"/>
                <w:lang w:val="en-US" w:eastAsia="zh-CN"/>
              </w:rPr>
              <w:t>为其缴纳的社保。具备整体项目管理经验、思路，能参与并调配团队人员处理项目各方面的情况；具备生态环境等与本项目相关专业的职称；具有较好的沟通能力和一定的学历文化水平。</w:t>
            </w:r>
          </w:p>
          <w:p w14:paraId="504D0638">
            <w:pPr>
              <w:keepNext w:val="0"/>
              <w:keepLines w:val="0"/>
              <w:pageBreakBefore w:val="0"/>
              <w:kinsoku/>
              <w:wordWrap/>
              <w:overflowPunct/>
              <w:topLinePunct w:val="0"/>
              <w:autoSpaceDE/>
              <w:autoSpaceDN/>
              <w:bidi w:val="0"/>
              <w:adjustRightInd w:val="0"/>
              <w:snapToGrid w:val="0"/>
              <w:spacing w:line="44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4.2</w:t>
            </w:r>
            <w:r>
              <w:rPr>
                <w:rFonts w:hint="eastAsia" w:ascii="宋体" w:hAnsi="宋体" w:cs="宋体"/>
                <w:b w:val="0"/>
                <w:bCs w:val="0"/>
                <w:color w:val="auto"/>
                <w:kern w:val="0"/>
                <w:sz w:val="24"/>
                <w:szCs w:val="24"/>
                <w:highlight w:val="none"/>
                <w:lang w:val="en-US" w:eastAsia="zh-CN"/>
              </w:rPr>
              <w:t>团队成员：团队成员熟悉掌握</w:t>
            </w:r>
            <w:r>
              <w:rPr>
                <w:rFonts w:hint="eastAsia" w:ascii="宋体" w:hAnsi="宋体" w:eastAsia="宋体" w:cs="宋体"/>
                <w:color w:val="auto"/>
                <w:sz w:val="24"/>
                <w:szCs w:val="24"/>
                <w:highlight w:val="none"/>
                <w:lang w:val="en-US" w:eastAsia="zh-CN"/>
              </w:rPr>
              <w:t>建设项目技术评估的相关工作</w:t>
            </w:r>
            <w:r>
              <w:rPr>
                <w:rFonts w:hint="eastAsia" w:ascii="宋体" w:hAnsi="宋体" w:cs="宋体"/>
                <w:b w:val="0"/>
                <w:bCs w:val="0"/>
                <w:color w:val="auto"/>
                <w:kern w:val="0"/>
                <w:sz w:val="24"/>
                <w:szCs w:val="24"/>
                <w:highlight w:val="none"/>
                <w:lang w:val="en-US" w:eastAsia="zh-CN"/>
              </w:rPr>
              <w:t>，能配合项目负责人</w:t>
            </w:r>
            <w:r>
              <w:rPr>
                <w:rFonts w:hint="eastAsia" w:ascii="宋体" w:hAnsi="宋体" w:eastAsia="宋体" w:cs="宋体"/>
                <w:color w:val="auto"/>
                <w:sz w:val="24"/>
                <w:szCs w:val="24"/>
                <w:highlight w:val="none"/>
                <w:lang w:val="en-US" w:eastAsia="zh-CN"/>
              </w:rPr>
              <w:t>一同完成</w:t>
            </w:r>
            <w:r>
              <w:rPr>
                <w:rFonts w:hint="eastAsia" w:ascii="宋体" w:hAnsi="宋体" w:cs="宋体"/>
                <w:color w:val="auto"/>
                <w:sz w:val="24"/>
                <w:szCs w:val="24"/>
                <w:highlight w:val="none"/>
                <w:lang w:val="en-US" w:eastAsia="zh-CN"/>
              </w:rPr>
              <w:t>采购人提出的需求</w:t>
            </w:r>
            <w:r>
              <w:rPr>
                <w:rFonts w:hint="eastAsia" w:ascii="宋体" w:hAnsi="宋体" w:eastAsia="宋体" w:cs="宋体"/>
                <w:color w:val="auto"/>
                <w:sz w:val="24"/>
                <w:szCs w:val="24"/>
                <w:highlight w:val="none"/>
                <w:lang w:val="en-US" w:eastAsia="zh-CN"/>
              </w:rPr>
              <w:t>。</w:t>
            </w:r>
          </w:p>
        </w:tc>
      </w:tr>
      <w:tr w14:paraId="492D4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396D30E4">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680"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0BDEB8A5">
            <w:pPr>
              <w:keepNext w:val="0"/>
              <w:keepLines w:val="0"/>
              <w:pageBreakBefore w:val="0"/>
              <w:kinsoku/>
              <w:wordWrap/>
              <w:overflowPunct/>
              <w:topLinePunct w:val="0"/>
              <w:autoSpaceDE/>
              <w:autoSpaceDN/>
              <w:bidi w:val="0"/>
              <w:adjustRightInd w:val="0"/>
              <w:snapToGrid w:val="0"/>
              <w:spacing w:line="440" w:lineRule="exact"/>
              <w:jc w:val="center"/>
              <w:textAlignment w:val="auto"/>
              <w:rPr>
                <w:rStyle w:val="2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服务期间与采购人、环评单位、主管部门、评审专家的综合协调</w:t>
            </w: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634C7F">
            <w:pPr>
              <w:keepNext w:val="0"/>
              <w:keepLines w:val="0"/>
              <w:pageBreakBefore w:val="0"/>
              <w:kinsoku/>
              <w:wordWrap/>
              <w:overflowPunct/>
              <w:topLinePunct w:val="0"/>
              <w:autoSpaceDE/>
              <w:autoSpaceDN/>
              <w:bidi w:val="0"/>
              <w:adjustRightInd w:val="0"/>
              <w:snapToGrid w:val="0"/>
              <w:spacing w:line="440" w:lineRule="exact"/>
              <w:jc w:val="left"/>
              <w:textAlignment w:val="auto"/>
              <w:rPr>
                <w:rFonts w:hint="eastAsia" w:ascii="宋体" w:hAnsi="宋体" w:cs="宋体"/>
                <w:color w:val="auto"/>
                <w:sz w:val="24"/>
                <w:szCs w:val="24"/>
                <w:highlight w:val="none"/>
                <w:lang w:val="en-US" w:eastAsia="zh-CN"/>
              </w:rPr>
            </w:pPr>
            <w:r>
              <w:rPr>
                <w:rStyle w:val="29"/>
                <w:rFonts w:hint="eastAsia" w:ascii="宋体" w:hAnsi="宋体" w:cs="宋体"/>
                <w:color w:val="auto"/>
                <w:sz w:val="24"/>
                <w:szCs w:val="24"/>
                <w:highlight w:val="none"/>
                <w:lang w:val="en-US" w:eastAsia="zh-CN"/>
              </w:rPr>
              <w:t>5</w:t>
            </w:r>
            <w:r>
              <w:rPr>
                <w:rStyle w:val="29"/>
                <w:rFonts w:hint="eastAsia" w:ascii="宋体" w:hAnsi="宋体" w:eastAsia="宋体" w:cs="宋体"/>
                <w:color w:val="auto"/>
                <w:sz w:val="24"/>
                <w:szCs w:val="24"/>
                <w:highlight w:val="none"/>
              </w:rPr>
              <w:t>.1采购人：项目实施中，应该着重做</w:t>
            </w:r>
            <w:r>
              <w:rPr>
                <w:rStyle w:val="29"/>
                <w:rFonts w:hint="eastAsia" w:ascii="宋体" w:hAnsi="宋体" w:cs="宋体"/>
                <w:color w:val="auto"/>
                <w:sz w:val="24"/>
                <w:szCs w:val="24"/>
                <w:highlight w:val="none"/>
                <w:lang w:val="en-US" w:eastAsia="zh-CN"/>
              </w:rPr>
              <w:t>中标人</w:t>
            </w:r>
            <w:r>
              <w:rPr>
                <w:rStyle w:val="29"/>
                <w:rFonts w:hint="eastAsia" w:ascii="宋体" w:hAnsi="宋体" w:eastAsia="宋体" w:cs="宋体"/>
                <w:color w:val="auto"/>
                <w:sz w:val="24"/>
                <w:szCs w:val="24"/>
                <w:highlight w:val="none"/>
              </w:rPr>
              <w:t>好沟通与协调工作，</w:t>
            </w:r>
            <w:r>
              <w:rPr>
                <w:rStyle w:val="29"/>
                <w:rFonts w:hint="eastAsia" w:ascii="宋体" w:hAnsi="宋体" w:cs="宋体"/>
                <w:color w:val="auto"/>
                <w:sz w:val="24"/>
                <w:szCs w:val="24"/>
                <w:highlight w:val="none"/>
                <w:lang w:val="en-US" w:eastAsia="zh-CN"/>
              </w:rPr>
              <w:t>要明确具体所需</w:t>
            </w:r>
            <w:r>
              <w:rPr>
                <w:rFonts w:hint="eastAsia" w:ascii="Times New Roman Regular" w:hAnsi="Times New Roman Regular" w:eastAsia="宋体" w:cs="Times New Roman Regular"/>
                <w:color w:val="auto"/>
                <w:kern w:val="0"/>
                <w:sz w:val="24"/>
                <w:szCs w:val="24"/>
                <w:highlight w:val="none"/>
                <w:lang w:eastAsia="zh-CN"/>
              </w:rPr>
              <w:t>技术评估</w:t>
            </w:r>
            <w:r>
              <w:rPr>
                <w:rStyle w:val="29"/>
                <w:rFonts w:hint="eastAsia" w:ascii="宋体" w:hAnsi="宋体" w:cs="宋体"/>
                <w:color w:val="auto"/>
                <w:sz w:val="24"/>
                <w:szCs w:val="24"/>
                <w:highlight w:val="none"/>
                <w:lang w:val="en-US" w:eastAsia="zh-CN"/>
              </w:rPr>
              <w:t>内容</w:t>
            </w:r>
            <w:r>
              <w:rPr>
                <w:rStyle w:val="29"/>
                <w:rFonts w:hint="eastAsia" w:ascii="宋体" w:hAnsi="宋体" w:eastAsia="宋体" w:cs="宋体"/>
                <w:color w:val="auto"/>
                <w:sz w:val="24"/>
                <w:szCs w:val="24"/>
                <w:highlight w:val="none"/>
              </w:rPr>
              <w:t>。</w:t>
            </w:r>
          </w:p>
        </w:tc>
      </w:tr>
      <w:tr w14:paraId="7504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continue"/>
            <w:tcBorders>
              <w:left w:val="single" w:color="000000" w:sz="2" w:space="0"/>
              <w:right w:val="single" w:color="000000" w:sz="2" w:space="0"/>
            </w:tcBorders>
            <w:noWrap w:val="0"/>
            <w:tcMar>
              <w:top w:w="100" w:type="dxa"/>
              <w:bottom w:w="100" w:type="dxa"/>
            </w:tcMar>
            <w:vAlign w:val="center"/>
          </w:tcPr>
          <w:p w14:paraId="29015583">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401263B0">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642585">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cs="宋体"/>
                <w:color w:val="auto"/>
                <w:sz w:val="24"/>
                <w:szCs w:val="24"/>
                <w:highlight w:val="none"/>
                <w:lang w:val="en-US" w:eastAsia="zh-CN"/>
              </w:rPr>
            </w:pPr>
            <w:r>
              <w:rPr>
                <w:rStyle w:val="29"/>
                <w:rFonts w:hint="eastAsia" w:ascii="宋体" w:hAnsi="宋体" w:cs="宋体"/>
                <w:color w:val="auto"/>
                <w:sz w:val="24"/>
                <w:szCs w:val="24"/>
                <w:highlight w:val="none"/>
                <w:lang w:val="en-US" w:eastAsia="zh-CN"/>
              </w:rPr>
              <w:t>5</w:t>
            </w:r>
            <w:r>
              <w:rPr>
                <w:rStyle w:val="29"/>
                <w:rFonts w:hint="eastAsia" w:ascii="宋体" w:hAnsi="宋体" w:eastAsia="宋体" w:cs="宋体"/>
                <w:color w:val="auto"/>
                <w:sz w:val="24"/>
                <w:szCs w:val="24"/>
                <w:highlight w:val="none"/>
              </w:rPr>
              <w:t>.2环评单位：项目实施中，应该着重做好沟通与协调工作，投标人需针对本项目提供详细的与环评单位的综合协调方案。</w:t>
            </w:r>
          </w:p>
        </w:tc>
      </w:tr>
      <w:tr w14:paraId="140B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continue"/>
            <w:tcBorders>
              <w:left w:val="single" w:color="000000" w:sz="2" w:space="0"/>
              <w:right w:val="single" w:color="000000" w:sz="2" w:space="0"/>
            </w:tcBorders>
            <w:noWrap w:val="0"/>
            <w:tcMar>
              <w:top w:w="100" w:type="dxa"/>
              <w:bottom w:w="100" w:type="dxa"/>
            </w:tcMar>
            <w:vAlign w:val="center"/>
          </w:tcPr>
          <w:p w14:paraId="06F764ED">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p>
        </w:tc>
        <w:tc>
          <w:tcPr>
            <w:tcW w:w="680" w:type="pct"/>
            <w:vMerge w:val="continue"/>
            <w:tcBorders>
              <w:left w:val="single" w:color="000000" w:sz="2" w:space="0"/>
              <w:right w:val="single" w:color="000000" w:sz="2" w:space="0"/>
            </w:tcBorders>
            <w:noWrap w:val="0"/>
            <w:tcMar>
              <w:top w:w="100" w:type="dxa"/>
              <w:bottom w:w="100" w:type="dxa"/>
            </w:tcMar>
            <w:vAlign w:val="center"/>
          </w:tcPr>
          <w:p w14:paraId="55AF02ED">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5767AF">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cs="宋体"/>
                <w:color w:val="auto"/>
                <w:sz w:val="24"/>
                <w:szCs w:val="24"/>
                <w:highlight w:val="none"/>
                <w:lang w:val="en-US" w:eastAsia="zh-CN"/>
              </w:rPr>
            </w:pPr>
            <w:r>
              <w:rPr>
                <w:rStyle w:val="29"/>
                <w:rFonts w:hint="eastAsia" w:ascii="宋体" w:hAnsi="宋体" w:cs="宋体"/>
                <w:color w:val="auto"/>
                <w:sz w:val="24"/>
                <w:szCs w:val="24"/>
                <w:highlight w:val="none"/>
                <w:lang w:val="en-US" w:eastAsia="zh-CN"/>
              </w:rPr>
              <w:t>5</w:t>
            </w:r>
            <w:r>
              <w:rPr>
                <w:rStyle w:val="29"/>
                <w:rFonts w:hint="eastAsia" w:ascii="宋体" w:hAnsi="宋体" w:eastAsia="宋体" w:cs="宋体"/>
                <w:color w:val="auto"/>
                <w:sz w:val="24"/>
                <w:szCs w:val="24"/>
                <w:highlight w:val="none"/>
              </w:rPr>
              <w:t>.3主管部门：项目实施中，应该着重做好沟通与协调工作，投标人需针对本项目提供详细的与主管部门的综合协调方案。</w:t>
            </w:r>
          </w:p>
        </w:tc>
      </w:tr>
      <w:tr w14:paraId="71630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2C80A212">
            <w:pPr>
              <w:pStyle w:val="30"/>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p>
        </w:tc>
        <w:tc>
          <w:tcPr>
            <w:tcW w:w="680"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065FA4F9">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405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7F49D5">
            <w:pPr>
              <w:keepNext w:val="0"/>
              <w:keepLines w:val="0"/>
              <w:pageBreakBefore w:val="0"/>
              <w:kinsoku/>
              <w:wordWrap/>
              <w:overflowPunct/>
              <w:topLinePunct w:val="0"/>
              <w:autoSpaceDE/>
              <w:autoSpaceDN/>
              <w:bidi w:val="0"/>
              <w:adjustRightInd w:val="0"/>
              <w:snapToGrid w:val="0"/>
              <w:spacing w:line="440" w:lineRule="exact"/>
              <w:jc w:val="left"/>
              <w:textAlignment w:val="auto"/>
              <w:rPr>
                <w:rStyle w:val="29"/>
                <w:rFonts w:hint="eastAsia" w:ascii="宋体" w:hAnsi="宋体" w:cs="宋体"/>
                <w:color w:val="auto"/>
                <w:sz w:val="24"/>
                <w:szCs w:val="24"/>
                <w:highlight w:val="none"/>
                <w:lang w:val="en-US" w:eastAsia="zh-CN"/>
              </w:rPr>
            </w:pPr>
            <w:r>
              <w:rPr>
                <w:rStyle w:val="29"/>
                <w:rFonts w:hint="eastAsia" w:ascii="宋体" w:hAnsi="宋体" w:cs="宋体"/>
                <w:color w:val="auto"/>
                <w:sz w:val="24"/>
                <w:szCs w:val="24"/>
                <w:highlight w:val="none"/>
                <w:lang w:val="en-US" w:eastAsia="zh-CN"/>
              </w:rPr>
              <w:t>5</w:t>
            </w:r>
            <w:r>
              <w:rPr>
                <w:rStyle w:val="29"/>
                <w:rFonts w:hint="eastAsia" w:ascii="宋体" w:hAnsi="宋体" w:eastAsia="宋体" w:cs="宋体"/>
                <w:color w:val="auto"/>
                <w:sz w:val="24"/>
                <w:szCs w:val="24"/>
                <w:highlight w:val="none"/>
              </w:rPr>
              <w:t>.4评审专家：项目实施中，应该着重做好沟通与协调工作，投标人需针对本项目提供详细的与评审专家的综合协调方案。</w:t>
            </w:r>
          </w:p>
        </w:tc>
      </w:tr>
    </w:tbl>
    <w:p w14:paraId="659364AC">
      <w:pPr>
        <w:pStyle w:val="8"/>
        <w:rPr>
          <w:rFonts w:hint="eastAsia"/>
          <w:color w:val="auto"/>
          <w:sz w:val="24"/>
          <w:szCs w:val="24"/>
          <w:highlight w:val="none"/>
          <w:lang w:val="en-US" w:eastAsia="zh-CN"/>
        </w:rPr>
      </w:pPr>
    </w:p>
    <w:p w14:paraId="18D3F84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b/>
          <w:bCs w:val="0"/>
          <w:color w:val="auto"/>
          <w:kern w:val="2"/>
          <w:sz w:val="24"/>
          <w:szCs w:val="24"/>
          <w:highlight w:val="none"/>
          <w:lang w:eastAsia="zh-CN"/>
        </w:rPr>
      </w:pPr>
      <w:r>
        <w:rPr>
          <w:rFonts w:hint="eastAsia" w:ascii="宋体" w:hAnsi="宋体" w:cs="宋体"/>
          <w:b/>
          <w:bCs w:val="0"/>
          <w:color w:val="auto"/>
          <w:kern w:val="2"/>
          <w:sz w:val="24"/>
          <w:szCs w:val="24"/>
          <w:highlight w:val="none"/>
          <w:lang w:val="en-US" w:eastAsia="zh-CN"/>
        </w:rPr>
        <w:t>四、</w:t>
      </w:r>
      <w:r>
        <w:rPr>
          <w:rFonts w:hint="eastAsia" w:ascii="宋体" w:hAnsi="宋体" w:eastAsia="宋体" w:cs="宋体"/>
          <w:b/>
          <w:bCs w:val="0"/>
          <w:color w:val="auto"/>
          <w:kern w:val="2"/>
          <w:sz w:val="24"/>
          <w:szCs w:val="24"/>
          <w:highlight w:val="none"/>
        </w:rPr>
        <w:t>综合说明</w:t>
      </w:r>
      <w:r>
        <w:rPr>
          <w:rFonts w:hint="eastAsia" w:ascii="宋体" w:hAnsi="宋体" w:cs="宋体"/>
          <w:b/>
          <w:bCs w:val="0"/>
          <w:color w:val="auto"/>
          <w:kern w:val="2"/>
          <w:sz w:val="24"/>
          <w:szCs w:val="24"/>
          <w:highlight w:val="none"/>
          <w:lang w:eastAsia="zh-CN"/>
        </w:rPr>
        <w:t>：</w:t>
      </w:r>
    </w:p>
    <w:p w14:paraId="3D956BB8">
      <w:pPr>
        <w:spacing w:line="360" w:lineRule="auto"/>
        <w:ind w:firstLine="480"/>
        <w:rPr>
          <w:rFonts w:hint="eastAsia" w:ascii="宋体" w:hAnsi="宋体" w:eastAsia="宋体" w:cs="Times New Roman"/>
          <w:b/>
          <w:bCs/>
          <w:color w:val="auto"/>
          <w:kern w:val="0"/>
          <w:sz w:val="24"/>
          <w:szCs w:val="24"/>
          <w:highlight w:val="none"/>
          <w:lang w:val="en-US" w:eastAsia="zh-CN"/>
        </w:rPr>
      </w:pPr>
      <w:r>
        <w:rPr>
          <w:rFonts w:hint="eastAsia" w:ascii="宋体" w:hAnsi="宋体" w:eastAsia="宋体" w:cs="Times New Roman"/>
          <w:b/>
          <w:bCs/>
          <w:color w:val="auto"/>
          <w:kern w:val="0"/>
          <w:sz w:val="24"/>
          <w:szCs w:val="24"/>
          <w:highlight w:val="none"/>
          <w:lang w:val="en-US" w:eastAsia="zh-CN"/>
        </w:rPr>
        <w:t>1、本项目按固定综合单价结算，中标单位的具体结算金额按实际发生数量结算。</w:t>
      </w:r>
    </w:p>
    <w:p w14:paraId="7D52E9E1">
      <w:pPr>
        <w:spacing w:line="360" w:lineRule="auto"/>
        <w:ind w:firstLine="480"/>
        <w:rPr>
          <w:rFonts w:hint="eastAsia" w:ascii="宋体" w:hAnsi="宋体" w:eastAsia="宋体" w:cs="Times New Roman"/>
          <w:b/>
          <w:bCs/>
          <w:color w:val="auto"/>
          <w:kern w:val="0"/>
          <w:sz w:val="24"/>
          <w:szCs w:val="24"/>
          <w:highlight w:val="none"/>
          <w:lang w:val="en-US" w:eastAsia="zh-CN"/>
        </w:rPr>
      </w:pPr>
      <w:r>
        <w:rPr>
          <w:rFonts w:hint="eastAsia" w:ascii="宋体" w:hAnsi="宋体" w:eastAsia="宋体" w:cs="Times New Roman"/>
          <w:b/>
          <w:bCs/>
          <w:color w:val="auto"/>
          <w:kern w:val="0"/>
          <w:sz w:val="24"/>
          <w:szCs w:val="24"/>
          <w:highlight w:val="none"/>
          <w:lang w:val="en-US" w:eastAsia="zh-CN"/>
        </w:rPr>
        <w:t>2、合同固定单价按综合单价最高限价*（1-中标优惠率）（单位：%）计算。</w:t>
      </w:r>
    </w:p>
    <w:p w14:paraId="5A40FF2A">
      <w:pPr>
        <w:keepNext w:val="0"/>
        <w:keepLines w:val="0"/>
        <w:pageBreakBefore w:val="0"/>
        <w:wordWrap/>
        <w:overflowPunct/>
        <w:topLinePunct w:val="0"/>
        <w:bidi w:val="0"/>
        <w:spacing w:line="360" w:lineRule="auto"/>
        <w:ind w:left="0" w:right="0" w:rightChars="0"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3、若</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Times New Roman"/>
          <w:color w:val="auto"/>
          <w:kern w:val="0"/>
          <w:sz w:val="24"/>
          <w:szCs w:val="24"/>
          <w:highlight w:val="none"/>
          <w:lang w:val="en-US" w:eastAsia="zh-CN"/>
        </w:rPr>
        <w:t>在管理服务期间，违反下列规定将被解除管理服务合同：</w:t>
      </w:r>
    </w:p>
    <w:p w14:paraId="44CD18F4">
      <w:pPr>
        <w:keepNext w:val="0"/>
        <w:keepLines w:val="0"/>
        <w:pageBreakBefore w:val="0"/>
        <w:wordWrap/>
        <w:overflowPunct/>
        <w:topLinePunct w:val="0"/>
        <w:bidi w:val="0"/>
        <w:spacing w:line="360" w:lineRule="auto"/>
        <w:ind w:left="0" w:right="0" w:rightChars="0"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（1）将承包的管理服务项目转包他人；</w:t>
      </w:r>
    </w:p>
    <w:p w14:paraId="08AB5C3F">
      <w:pPr>
        <w:keepNext w:val="0"/>
        <w:keepLines w:val="0"/>
        <w:pageBreakBefore w:val="0"/>
        <w:wordWrap/>
        <w:overflowPunct/>
        <w:topLinePunct w:val="0"/>
        <w:bidi w:val="0"/>
        <w:spacing w:line="360" w:lineRule="auto"/>
        <w:ind w:left="0" w:right="0" w:rightChars="0"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（2）未按照国家劳动法规定聘用作业人员；</w:t>
      </w:r>
    </w:p>
    <w:p w14:paraId="144AE0AB">
      <w:pPr>
        <w:keepNext w:val="0"/>
        <w:keepLines w:val="0"/>
        <w:pageBreakBefore w:val="0"/>
        <w:wordWrap/>
        <w:overflowPunct/>
        <w:topLinePunct w:val="0"/>
        <w:bidi w:val="0"/>
        <w:spacing w:line="360" w:lineRule="auto"/>
        <w:ind w:left="0" w:right="0" w:rightChars="0"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（3）作业人员的工资社保待遇不得低于相关政策规定的目前人均最低工资标准和社保缴费标准；</w:t>
      </w:r>
    </w:p>
    <w:p w14:paraId="10A062B8">
      <w:pPr>
        <w:keepNext w:val="0"/>
        <w:keepLines w:val="0"/>
        <w:pageBreakBefore w:val="0"/>
        <w:wordWrap/>
        <w:overflowPunct/>
        <w:topLinePunct w:val="0"/>
        <w:bidi w:val="0"/>
        <w:spacing w:line="360" w:lineRule="auto"/>
        <w:ind w:left="0" w:right="0" w:rightChars="0"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（4）</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Times New Roman"/>
          <w:color w:val="auto"/>
          <w:kern w:val="0"/>
          <w:sz w:val="24"/>
          <w:szCs w:val="24"/>
          <w:highlight w:val="none"/>
          <w:lang w:val="en-US" w:eastAsia="zh-CN"/>
        </w:rPr>
        <w:t>必须依法用工，拖欠员工工资引起讨薪事件或对项目正常运行造成严重影响的；</w:t>
      </w:r>
    </w:p>
    <w:p w14:paraId="61AA1115">
      <w:pPr>
        <w:keepNext w:val="0"/>
        <w:keepLines w:val="0"/>
        <w:pageBreakBefore w:val="0"/>
        <w:wordWrap/>
        <w:overflowPunct/>
        <w:topLinePunct w:val="0"/>
        <w:bidi w:val="0"/>
        <w:spacing w:line="360" w:lineRule="auto"/>
        <w:ind w:left="0" w:right="0" w:rightChars="0"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（5）采购单位有权检查监督中标单位管理服务质量，对不称职的工作人员有权要求</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Times New Roman"/>
          <w:color w:val="auto"/>
          <w:kern w:val="0"/>
          <w:sz w:val="24"/>
          <w:szCs w:val="24"/>
          <w:highlight w:val="none"/>
          <w:lang w:val="en-US" w:eastAsia="zh-CN"/>
        </w:rPr>
        <w:t>在一周内更换，直至人选合格为止；</w:t>
      </w:r>
    </w:p>
    <w:p w14:paraId="1CBEFDFC">
      <w:pPr>
        <w:keepNext w:val="0"/>
        <w:keepLines w:val="0"/>
        <w:pageBreakBefore w:val="0"/>
        <w:wordWrap/>
        <w:overflowPunct/>
        <w:topLinePunct w:val="0"/>
        <w:bidi w:val="0"/>
        <w:spacing w:line="360" w:lineRule="auto"/>
        <w:ind w:left="0" w:right="0" w:rightChars="0"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4、</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Times New Roman"/>
          <w:color w:val="auto"/>
          <w:kern w:val="0"/>
          <w:sz w:val="24"/>
          <w:szCs w:val="24"/>
          <w:highlight w:val="none"/>
          <w:lang w:val="en-US" w:eastAsia="zh-CN"/>
        </w:rPr>
        <w:t>须为本项目配备的所有服务人员按规定缴纳社会保险及人身意外险，若工作人员在服务期间内出现的工伤及其他意外事故，均由</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Times New Roman"/>
          <w:color w:val="auto"/>
          <w:kern w:val="0"/>
          <w:sz w:val="24"/>
          <w:szCs w:val="24"/>
          <w:highlight w:val="none"/>
          <w:lang w:val="en-US" w:eastAsia="zh-CN"/>
        </w:rPr>
        <w:t>自行负责，采购单位不承担任何责任。</w:t>
      </w:r>
    </w:p>
    <w:p w14:paraId="709E9066">
      <w:pPr>
        <w:keepNext w:val="0"/>
        <w:keepLines w:val="0"/>
        <w:pageBreakBefore w:val="0"/>
        <w:wordWrap/>
        <w:overflowPunct/>
        <w:topLinePunct w:val="0"/>
        <w:bidi w:val="0"/>
        <w:spacing w:line="360" w:lineRule="auto"/>
        <w:ind w:left="0" w:right="0" w:rightChars="0"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5、</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Times New Roman"/>
          <w:color w:val="auto"/>
          <w:kern w:val="0"/>
          <w:sz w:val="24"/>
          <w:szCs w:val="24"/>
          <w:highlight w:val="none"/>
          <w:lang w:val="en-US" w:eastAsia="zh-CN"/>
        </w:rPr>
        <w:t>必须说明其是否响应招标文件中提出的全部服务内容与要求，如果以其中某些条款不响应时，应在文件中逐条列出，未列出的视同响应。</w:t>
      </w:r>
    </w:p>
    <w:p w14:paraId="135B7A3F">
      <w:pPr>
        <w:keepNext w:val="0"/>
        <w:keepLines w:val="0"/>
        <w:pageBreakBefore w:val="0"/>
        <w:wordWrap/>
        <w:overflowPunct/>
        <w:topLinePunct w:val="0"/>
        <w:bidi w:val="0"/>
        <w:spacing w:line="360" w:lineRule="auto"/>
        <w:ind w:left="0" w:right="0" w:rightChars="0" w:firstLine="480" w:firstLineChars="200"/>
        <w:jc w:val="left"/>
        <w:rPr>
          <w:rFonts w:ascii="Times New Roman" w:hAnsi="Times New Roman" w:eastAsia="宋体" w:cs="Times New Roman"/>
          <w:color w:val="auto"/>
          <w:highlight w:val="none"/>
        </w:rPr>
      </w:pPr>
      <w:r>
        <w:rPr>
          <w:rFonts w:hint="eastAsia" w:ascii="宋体" w:hAnsi="宋体" w:eastAsia="宋体" w:cs="Times New Roman"/>
          <w:color w:val="auto"/>
          <w:kern w:val="0"/>
          <w:sz w:val="24"/>
          <w:szCs w:val="24"/>
          <w:highlight w:val="none"/>
          <w:lang w:val="en-US" w:eastAsia="zh-CN"/>
        </w:rPr>
        <w:t>6、</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Times New Roman"/>
          <w:color w:val="auto"/>
          <w:kern w:val="0"/>
          <w:sz w:val="24"/>
          <w:szCs w:val="24"/>
          <w:highlight w:val="none"/>
          <w:lang w:val="en-US" w:eastAsia="zh-CN"/>
        </w:rPr>
        <w:t>提供的技术资料必须真实、准确，如提供的参数虚假或对采购文件所要求说明的情况故意隐瞒或虚报，按《中华人民共和国政府采购法》第七十七条的相关办法处理。</w:t>
      </w:r>
    </w:p>
    <w:p w14:paraId="4E680957">
      <w:pPr>
        <w:pStyle w:val="31"/>
        <w:keepNext w:val="0"/>
        <w:keepLines w:val="0"/>
        <w:pageBreakBefore w:val="0"/>
        <w:wordWrap/>
        <w:overflowPunct/>
        <w:topLinePunct w:val="0"/>
        <w:bidi w:val="0"/>
        <w:adjustRightInd w:val="0"/>
        <w:snapToGrid w:val="0"/>
        <w:spacing w:line="360" w:lineRule="auto"/>
        <w:ind w:left="0" w:leftChars="0" w:right="0" w:rightChars="0" w:firstLine="0" w:firstLineChars="0"/>
        <w:jc w:val="lef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、其它：</w:t>
      </w:r>
    </w:p>
    <w:p w14:paraId="0AE990CD">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（一）</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对服务缺陷不予更正，</w:t>
      </w:r>
      <w:r>
        <w:rPr>
          <w:rFonts w:hint="eastAsia" w:ascii="宋体" w:hAnsi="宋体" w:eastAsia="宋体" w:cs="Times New Roman"/>
          <w:color w:val="auto"/>
          <w:kern w:val="0"/>
          <w:sz w:val="24"/>
          <w:szCs w:val="24"/>
          <w:highlight w:val="none"/>
          <w:lang w:val="en-US" w:eastAsia="zh-CN"/>
        </w:rPr>
        <w:t>采购单位</w:t>
      </w:r>
      <w:r>
        <w:rPr>
          <w:rFonts w:hint="eastAsia" w:ascii="宋体" w:hAnsi="宋体" w:eastAsia="宋体" w:cs="宋体"/>
          <w:b w:val="0"/>
          <w:bCs w:val="0"/>
          <w:color w:val="auto"/>
          <w:kern w:val="1"/>
          <w:sz w:val="24"/>
          <w:szCs w:val="24"/>
          <w:highlight w:val="none"/>
          <w:lang w:val="en-US" w:eastAsia="zh-CN"/>
        </w:rPr>
        <w:t>有权另请其他单位更正，所发生的费用由</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承担</w:t>
      </w:r>
      <w:r>
        <w:rPr>
          <w:rFonts w:hint="eastAsia" w:ascii="宋体" w:hAnsi="宋体" w:eastAsia="宋体" w:cs="宋体"/>
          <w:color w:val="auto"/>
          <w:kern w:val="1"/>
          <w:sz w:val="24"/>
          <w:szCs w:val="24"/>
          <w:highlight w:val="none"/>
        </w:rPr>
        <w:t>，并有权直接在应结算的服务费中扣除。</w:t>
      </w:r>
    </w:p>
    <w:p w14:paraId="5F32FC47">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（二）如遇</w:t>
      </w:r>
      <w:r>
        <w:rPr>
          <w:rFonts w:hint="eastAsia" w:ascii="宋体" w:hAnsi="宋体" w:eastAsia="宋体" w:cs="Times New Roman"/>
          <w:color w:val="auto"/>
          <w:kern w:val="0"/>
          <w:sz w:val="24"/>
          <w:szCs w:val="24"/>
          <w:highlight w:val="none"/>
          <w:lang w:val="en-US" w:eastAsia="zh-CN"/>
        </w:rPr>
        <w:t>采购单位</w:t>
      </w:r>
      <w:r>
        <w:rPr>
          <w:rFonts w:hint="eastAsia" w:ascii="宋体" w:hAnsi="宋体" w:eastAsia="宋体" w:cs="宋体"/>
          <w:b w:val="0"/>
          <w:bCs w:val="0"/>
          <w:color w:val="auto"/>
          <w:kern w:val="1"/>
          <w:sz w:val="24"/>
          <w:szCs w:val="24"/>
          <w:highlight w:val="none"/>
          <w:lang w:val="en-US" w:eastAsia="zh-CN"/>
        </w:rPr>
        <w:t>有重大基建等特殊情况（工作量减少或增加幅度较大时），</w:t>
      </w:r>
      <w:r>
        <w:rPr>
          <w:rFonts w:hint="eastAsia" w:ascii="宋体" w:hAnsi="宋体" w:eastAsia="宋体" w:cs="Times New Roman"/>
          <w:color w:val="auto"/>
          <w:kern w:val="0"/>
          <w:sz w:val="24"/>
          <w:szCs w:val="24"/>
          <w:highlight w:val="none"/>
          <w:lang w:val="en-US" w:eastAsia="zh-CN"/>
        </w:rPr>
        <w:t>采购单位</w:t>
      </w:r>
      <w:r>
        <w:rPr>
          <w:rFonts w:hint="eastAsia" w:ascii="宋体" w:hAnsi="宋体" w:eastAsia="宋体" w:cs="宋体"/>
          <w:b w:val="0"/>
          <w:bCs w:val="0"/>
          <w:color w:val="auto"/>
          <w:kern w:val="1"/>
          <w:sz w:val="24"/>
          <w:szCs w:val="24"/>
          <w:highlight w:val="none"/>
          <w:lang w:val="en-US" w:eastAsia="zh-CN"/>
        </w:rPr>
        <w:t>将提前一个月告知</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，合同内容经双方协商调整。</w:t>
      </w:r>
    </w:p>
    <w:p w14:paraId="07B48F0D">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（三）</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有责任配合</w:t>
      </w:r>
      <w:r>
        <w:rPr>
          <w:rFonts w:hint="eastAsia" w:ascii="宋体" w:hAnsi="宋体" w:eastAsia="宋体" w:cs="Times New Roman"/>
          <w:color w:val="auto"/>
          <w:kern w:val="0"/>
          <w:sz w:val="24"/>
          <w:szCs w:val="24"/>
          <w:highlight w:val="none"/>
          <w:lang w:val="en-US" w:eastAsia="zh-CN"/>
        </w:rPr>
        <w:t>采购单位</w:t>
      </w:r>
      <w:r>
        <w:rPr>
          <w:rFonts w:hint="eastAsia" w:ascii="宋体" w:hAnsi="宋体" w:eastAsia="宋体" w:cs="宋体"/>
          <w:b w:val="0"/>
          <w:bCs w:val="0"/>
          <w:color w:val="auto"/>
          <w:kern w:val="1"/>
          <w:sz w:val="24"/>
          <w:szCs w:val="24"/>
          <w:highlight w:val="none"/>
          <w:lang w:val="en-US" w:eastAsia="zh-CN"/>
        </w:rPr>
        <w:t>接受上级领导部门的监督、检查，提供必须的资料。</w:t>
      </w:r>
    </w:p>
    <w:p w14:paraId="54B2B123">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（四）</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须严格按照国家和政府规定给所有的员工缴纳各种社会保险（包括养老、医疗、工伤、生育险、失业保险等）。负责其招聘员工的一切工资、福利；如发生工伤、疾病乃至死亡的一切责任及费用由</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全部负责；应严格遵守国家有关的法律、法规及行业标准，否则</w:t>
      </w:r>
      <w:r>
        <w:rPr>
          <w:rFonts w:hint="eastAsia" w:ascii="宋体" w:hAnsi="宋体" w:eastAsia="宋体" w:cs="Times New Roman"/>
          <w:color w:val="auto"/>
          <w:kern w:val="0"/>
          <w:sz w:val="24"/>
          <w:szCs w:val="24"/>
          <w:highlight w:val="none"/>
          <w:lang w:val="en-US" w:eastAsia="zh-CN"/>
        </w:rPr>
        <w:t>采购单位</w:t>
      </w:r>
      <w:r>
        <w:rPr>
          <w:rFonts w:hint="eastAsia" w:ascii="宋体" w:hAnsi="宋体" w:eastAsia="宋体" w:cs="宋体"/>
          <w:b w:val="0"/>
          <w:bCs w:val="0"/>
          <w:color w:val="auto"/>
          <w:kern w:val="1"/>
          <w:sz w:val="24"/>
          <w:szCs w:val="24"/>
          <w:highlight w:val="none"/>
          <w:lang w:val="en-US" w:eastAsia="zh-CN"/>
        </w:rPr>
        <w:t>有权终止合同。</w:t>
      </w:r>
    </w:p>
    <w:p w14:paraId="656E6152">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（五）</w:t>
      </w:r>
      <w:r>
        <w:rPr>
          <w:rFonts w:hint="eastAsia" w:ascii="宋体" w:hAnsi="宋体" w:eastAsia="宋体" w:cs="Times New Roman"/>
          <w:color w:val="auto"/>
          <w:kern w:val="0"/>
          <w:sz w:val="24"/>
          <w:szCs w:val="24"/>
          <w:highlight w:val="none"/>
          <w:lang w:val="en-US" w:eastAsia="zh-CN"/>
        </w:rPr>
        <w:t>采购单位</w:t>
      </w:r>
      <w:r>
        <w:rPr>
          <w:rFonts w:hint="eastAsia" w:ascii="宋体" w:hAnsi="宋体" w:eastAsia="宋体" w:cs="宋体"/>
          <w:b w:val="0"/>
          <w:bCs w:val="0"/>
          <w:color w:val="auto"/>
          <w:kern w:val="1"/>
          <w:sz w:val="24"/>
          <w:szCs w:val="24"/>
          <w:highlight w:val="none"/>
          <w:lang w:val="en-US" w:eastAsia="zh-CN"/>
        </w:rPr>
        <w:t>不接受</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任何因遗漏报价而发生的费用追加，因</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违反《劳动法》等法律法规而造成</w:t>
      </w:r>
      <w:r>
        <w:rPr>
          <w:rFonts w:hint="eastAsia" w:ascii="宋体" w:hAnsi="宋体" w:eastAsia="宋体" w:cs="Times New Roman"/>
          <w:color w:val="auto"/>
          <w:kern w:val="0"/>
          <w:sz w:val="24"/>
          <w:szCs w:val="24"/>
          <w:highlight w:val="none"/>
          <w:lang w:val="en-US" w:eastAsia="zh-CN"/>
        </w:rPr>
        <w:t>采购单位</w:t>
      </w:r>
      <w:r>
        <w:rPr>
          <w:rFonts w:hint="eastAsia" w:ascii="宋体" w:hAnsi="宋体" w:eastAsia="宋体" w:cs="宋体"/>
          <w:b w:val="0"/>
          <w:bCs w:val="0"/>
          <w:color w:val="auto"/>
          <w:kern w:val="1"/>
          <w:sz w:val="24"/>
          <w:szCs w:val="24"/>
          <w:highlight w:val="none"/>
          <w:lang w:val="en-US" w:eastAsia="zh-CN"/>
        </w:rPr>
        <w:t>的连带责任和损失全部由</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承担。</w:t>
      </w:r>
    </w:p>
    <w:p w14:paraId="4A4DCE2B">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（六）</w:t>
      </w:r>
      <w:r>
        <w:rPr>
          <w:rFonts w:hint="eastAsia" w:ascii="宋体" w:hAnsi="宋体" w:eastAsia="宋体" w:cs="宋体"/>
          <w:color w:val="auto"/>
          <w:kern w:val="0"/>
          <w:sz w:val="24"/>
          <w:szCs w:val="24"/>
          <w:highlight w:val="none"/>
          <w:shd w:val="clear" w:color="auto" w:fill="auto"/>
          <w:lang w:val="en-US" w:eastAsia="zh-CN"/>
        </w:rPr>
        <w:t>供应商</w:t>
      </w:r>
      <w:r>
        <w:rPr>
          <w:rFonts w:hint="eastAsia" w:ascii="宋体" w:hAnsi="宋体" w:eastAsia="宋体" w:cs="宋体"/>
          <w:b w:val="0"/>
          <w:bCs w:val="0"/>
          <w:color w:val="auto"/>
          <w:kern w:val="1"/>
          <w:sz w:val="24"/>
          <w:szCs w:val="24"/>
          <w:highlight w:val="none"/>
          <w:lang w:val="en-US" w:eastAsia="zh-CN"/>
        </w:rPr>
        <w:t>应在投标文件中说明，如能中标，在服务过程中需要</w:t>
      </w:r>
      <w:r>
        <w:rPr>
          <w:rFonts w:hint="eastAsia" w:ascii="宋体" w:hAnsi="宋体" w:eastAsia="宋体" w:cs="Times New Roman"/>
          <w:color w:val="auto"/>
          <w:kern w:val="0"/>
          <w:sz w:val="24"/>
          <w:szCs w:val="24"/>
          <w:highlight w:val="none"/>
          <w:lang w:val="en-US" w:eastAsia="zh-CN"/>
        </w:rPr>
        <w:t>采购单位</w:t>
      </w:r>
      <w:r>
        <w:rPr>
          <w:rFonts w:hint="eastAsia" w:ascii="宋体" w:hAnsi="宋体" w:eastAsia="宋体" w:cs="宋体"/>
          <w:b w:val="0"/>
          <w:bCs w:val="0"/>
          <w:color w:val="auto"/>
          <w:kern w:val="1"/>
          <w:sz w:val="24"/>
          <w:szCs w:val="24"/>
          <w:highlight w:val="none"/>
          <w:lang w:val="en-US" w:eastAsia="zh-CN"/>
        </w:rPr>
        <w:t>配合的工作和需要提供的条件。</w:t>
      </w:r>
    </w:p>
    <w:p w14:paraId="585A6DDF">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七）报价方式：应含完成本项工作所需的一切费用，包括但不限于各项管理费、人工成本(工资、社保、福利、津贴、加班费等)、创业项目征集与评审、专家咨询劳务费、投融资专项对接服务、宣传推广和印刷资料费、培训费、交通费、网络费、办公设备耗材费、相关设备维修费、银行费用、税费、利润、保险、政策性文件规定及合同包含的所有风险、责任等各项应有费用。</w:t>
      </w:r>
    </w:p>
    <w:p w14:paraId="478FF728">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（八）招标文件未列明，而投标人认为必需的费用也需列入报价。</w:t>
      </w:r>
    </w:p>
    <w:p w14:paraId="586CF4B7">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 xml:space="preserve">（九）投标人在报价时应考虑各种风险因素，相关风险因素费用包含在报价总价中。风险因素包括现场情况的确定因素、遇重大活动、检查、突发情况、最低工资调整、物价调整、税费调整等。 </w:t>
      </w:r>
    </w:p>
    <w:p w14:paraId="6F530C75">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微软雅黑"/>
          <w:color w:val="auto"/>
          <w:kern w:val="0"/>
          <w:sz w:val="24"/>
          <w:szCs w:val="24"/>
          <w:highlight w:val="none"/>
          <w:lang w:eastAsia="zh-CN"/>
        </w:rPr>
      </w:pPr>
      <w:r>
        <w:rPr>
          <w:rFonts w:hint="eastAsia" w:ascii="宋体" w:hAnsi="宋体" w:eastAsia="宋体" w:cs="宋体"/>
          <w:b w:val="0"/>
          <w:bCs w:val="0"/>
          <w:color w:val="auto"/>
          <w:kern w:val="1"/>
          <w:sz w:val="24"/>
          <w:szCs w:val="24"/>
          <w:highlight w:val="none"/>
          <w:lang w:val="en-US" w:eastAsia="zh-CN"/>
        </w:rPr>
        <w:t>（十）凡涉及招标文件的</w:t>
      </w:r>
      <w:r>
        <w:rPr>
          <w:rFonts w:hint="eastAsia" w:ascii="宋体" w:hAnsi="宋体" w:eastAsia="宋体" w:cs="微软雅黑"/>
          <w:color w:val="auto"/>
          <w:kern w:val="0"/>
          <w:sz w:val="24"/>
          <w:szCs w:val="24"/>
          <w:highlight w:val="none"/>
          <w:lang w:eastAsia="zh-CN"/>
        </w:rPr>
        <w:t>补充说明和修改，均以苏州政府采购网、江苏省政府采购网发布的内容为准。</w:t>
      </w:r>
    </w:p>
    <w:p w14:paraId="18778AF4">
      <w:pPr>
        <w:spacing w:line="360" w:lineRule="auto"/>
        <w:jc w:val="left"/>
        <w:rPr>
          <w:rFonts w:hint="eastAsia" w:ascii="宋体" w:hAnsi="宋体" w:eastAsia="宋体" w:cs="宋体"/>
          <w:b/>
          <w:bCs/>
          <w:color w:val="auto"/>
          <w:kern w:val="0"/>
          <w:sz w:val="24"/>
          <w:szCs w:val="24"/>
          <w:highlight w:val="none"/>
          <w:lang w:eastAsia="zh-CN"/>
        </w:rPr>
      </w:pPr>
      <w:r>
        <w:rPr>
          <w:rFonts w:hint="eastAsia" w:ascii="宋体" w:hAnsi="宋体" w:cs="宋体"/>
          <w:b/>
          <w:bCs/>
          <w:color w:val="auto"/>
          <w:kern w:val="0"/>
          <w:sz w:val="24"/>
          <w:szCs w:val="24"/>
          <w:highlight w:val="none"/>
          <w:lang w:val="en-US" w:eastAsia="zh-CN"/>
        </w:rPr>
        <w:t>六</w:t>
      </w: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服务</w:t>
      </w:r>
      <w:r>
        <w:rPr>
          <w:rFonts w:hint="eastAsia" w:ascii="宋体" w:hAnsi="宋体" w:eastAsia="宋体" w:cs="宋体"/>
          <w:b/>
          <w:bCs/>
          <w:color w:val="auto"/>
          <w:kern w:val="0"/>
          <w:sz w:val="24"/>
          <w:szCs w:val="24"/>
          <w:highlight w:val="none"/>
          <w:lang w:val="en-US" w:eastAsia="zh-CN"/>
        </w:rPr>
        <w:t>方案</w:t>
      </w:r>
      <w:r>
        <w:rPr>
          <w:rFonts w:hint="eastAsia" w:ascii="宋体" w:hAnsi="宋体" w:eastAsia="宋体" w:cs="宋体"/>
          <w:b/>
          <w:bCs/>
          <w:color w:val="auto"/>
          <w:kern w:val="0"/>
          <w:sz w:val="24"/>
          <w:szCs w:val="24"/>
          <w:highlight w:val="none"/>
          <w:lang w:eastAsia="zh-CN"/>
        </w:rPr>
        <w:t>：</w:t>
      </w:r>
    </w:p>
    <w:p w14:paraId="7C4C4D16">
      <w:pPr>
        <w:spacing w:line="360" w:lineRule="auto"/>
        <w:ind w:firstLine="482" w:firstLineChars="200"/>
        <w:jc w:val="left"/>
        <w:rPr>
          <w:rFonts w:hint="eastAsia" w:ascii="宋体" w:hAnsi="宋体" w:eastAsia="宋体"/>
          <w:b w:val="0"/>
          <w:bCs w:val="0"/>
          <w:color w:val="auto"/>
          <w:sz w:val="24"/>
          <w:szCs w:val="24"/>
          <w:highlight w:val="none"/>
          <w:lang w:val="en-US" w:eastAsia="zh-CN"/>
        </w:rPr>
      </w:pPr>
      <w:r>
        <w:rPr>
          <w:rFonts w:hint="eastAsia" w:ascii="宋体" w:hAnsi="宋体" w:cs="宋体"/>
          <w:b/>
          <w:bCs/>
          <w:color w:val="auto"/>
          <w:kern w:val="0"/>
          <w:sz w:val="24"/>
          <w:szCs w:val="24"/>
          <w:highlight w:val="none"/>
          <w:lang w:val="en-US" w:eastAsia="zh-CN"/>
        </w:rPr>
        <w:t>供应商需根据本项目工作内容，需制定针对性强、操作性高的各项服务方案。包括但不限于</w:t>
      </w:r>
      <w:r>
        <w:rPr>
          <w:rFonts w:hint="default" w:ascii="宋体" w:hAnsi="宋体" w:eastAsia="宋体" w:cs="宋体"/>
          <w:b w:val="0"/>
          <w:color w:val="auto"/>
          <w:spacing w:val="7"/>
          <w:sz w:val="24"/>
          <w:szCs w:val="22"/>
          <w:highlight w:val="none"/>
          <w:lang w:val="en-US" w:eastAsia="zh-CN" w:bidi="ar-SA"/>
        </w:rPr>
        <w:t>环境影响评价报告技术评估方案</w:t>
      </w:r>
      <w:r>
        <w:rPr>
          <w:rFonts w:hint="eastAsia" w:ascii="宋体" w:hAnsi="宋体" w:eastAsia="宋体" w:cs="宋体"/>
          <w:b w:val="0"/>
          <w:color w:val="auto"/>
          <w:spacing w:val="7"/>
          <w:sz w:val="24"/>
          <w:szCs w:val="22"/>
          <w:highlight w:val="none"/>
          <w:lang w:val="en-US" w:eastAsia="zh-CN" w:bidi="ar-SA"/>
        </w:rPr>
        <w:t>、</w:t>
      </w:r>
      <w:r>
        <w:rPr>
          <w:rFonts w:hint="default" w:ascii="宋体" w:hAnsi="宋体" w:eastAsia="宋体" w:cs="宋体"/>
          <w:b w:val="0"/>
          <w:color w:val="auto"/>
          <w:spacing w:val="7"/>
          <w:sz w:val="24"/>
          <w:szCs w:val="22"/>
          <w:highlight w:val="none"/>
          <w:lang w:val="en-US" w:eastAsia="zh-CN" w:bidi="ar-SA"/>
        </w:rPr>
        <w:t>质量保证与质量控制方案</w:t>
      </w:r>
      <w:r>
        <w:rPr>
          <w:rFonts w:hint="eastAsia" w:ascii="宋体" w:hAnsi="宋体" w:eastAsia="宋体" w:cs="宋体"/>
          <w:b w:val="0"/>
          <w:color w:val="auto"/>
          <w:spacing w:val="7"/>
          <w:sz w:val="24"/>
          <w:szCs w:val="22"/>
          <w:highlight w:val="none"/>
          <w:lang w:val="en-US" w:eastAsia="zh-CN" w:bidi="ar-SA"/>
        </w:rPr>
        <w:t>及</w:t>
      </w:r>
      <w:r>
        <w:rPr>
          <w:rFonts w:hint="default" w:ascii="宋体" w:hAnsi="宋体" w:eastAsia="宋体" w:cs="宋体"/>
          <w:b w:val="0"/>
          <w:color w:val="auto"/>
          <w:spacing w:val="7"/>
          <w:sz w:val="24"/>
          <w:szCs w:val="22"/>
          <w:highlight w:val="none"/>
          <w:lang w:val="en-US" w:eastAsia="zh-CN" w:bidi="ar-SA"/>
        </w:rPr>
        <w:t>项目管理制度</w:t>
      </w:r>
      <w:r>
        <w:rPr>
          <w:rFonts w:hint="eastAsia" w:ascii="宋体" w:hAnsi="宋体" w:eastAsia="宋体" w:cs="宋体"/>
          <w:b w:val="0"/>
          <w:color w:val="auto"/>
          <w:spacing w:val="7"/>
          <w:sz w:val="24"/>
          <w:szCs w:val="22"/>
          <w:highlight w:val="none"/>
          <w:lang w:val="en-US" w:eastAsia="zh-CN" w:bidi="ar-SA"/>
        </w:rPr>
        <w:t>。</w:t>
      </w:r>
    </w:p>
    <w:p w14:paraId="2E7BE966">
      <w:pPr>
        <w:keepNext w:val="0"/>
        <w:keepLines w:val="0"/>
        <w:pageBreakBefore w:val="0"/>
        <w:widowControl w:val="0"/>
        <w:numPr>
          <w:ilvl w:val="0"/>
          <w:numId w:val="0"/>
        </w:numPr>
        <w:wordWrap/>
        <w:overflowPunct/>
        <w:topLinePunct w:val="0"/>
        <w:bidi w:val="0"/>
        <w:spacing w:line="360" w:lineRule="auto"/>
        <w:ind w:right="0" w:rightChars="0" w:firstLine="480" w:firstLineChars="200"/>
        <w:jc w:val="left"/>
        <w:outlineLvl w:val="9"/>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1、</w:t>
      </w:r>
      <w:r>
        <w:rPr>
          <w:rFonts w:hint="default" w:ascii="宋体" w:hAnsi="宋体" w:eastAsia="宋体" w:cs="宋体"/>
          <w:b w:val="0"/>
          <w:color w:val="auto"/>
          <w:spacing w:val="7"/>
          <w:sz w:val="24"/>
          <w:szCs w:val="22"/>
          <w:highlight w:val="none"/>
          <w:lang w:val="en-US" w:eastAsia="zh-CN" w:bidi="ar-SA"/>
        </w:rPr>
        <w:t>环境影响评价报告技术评估方案</w:t>
      </w:r>
    </w:p>
    <w:p w14:paraId="115861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宋体" w:hAnsi="宋体" w:eastAsia="宋体" w:cs="宋体"/>
          <w:b w:val="0"/>
          <w:color w:val="auto"/>
          <w:spacing w:val="7"/>
          <w:sz w:val="24"/>
          <w:szCs w:val="22"/>
          <w:highlight w:val="none"/>
          <w:lang w:val="en-US" w:eastAsia="zh-CN" w:bidi="ar-SA"/>
        </w:rPr>
      </w:pPr>
      <w:r>
        <w:rPr>
          <w:rFonts w:hint="eastAsia" w:ascii="宋体" w:hAnsi="宋体" w:eastAsia="宋体"/>
          <w:b w:val="0"/>
          <w:bCs w:val="0"/>
          <w:color w:val="auto"/>
          <w:sz w:val="24"/>
          <w:szCs w:val="24"/>
          <w:highlight w:val="none"/>
          <w:lang w:val="en-US" w:eastAsia="zh-CN"/>
        </w:rPr>
        <w:t>供应商</w:t>
      </w:r>
      <w:r>
        <w:rPr>
          <w:rFonts w:hint="eastAsia" w:ascii="宋体" w:hAnsi="宋体"/>
          <w:b w:val="0"/>
          <w:bCs w:val="0"/>
          <w:color w:val="auto"/>
          <w:sz w:val="24"/>
          <w:szCs w:val="24"/>
          <w:highlight w:val="none"/>
          <w:lang w:val="en-US" w:eastAsia="zh-CN"/>
        </w:rPr>
        <w:t>需要针对本项目提供</w:t>
      </w:r>
      <w:r>
        <w:rPr>
          <w:rFonts w:hint="default" w:ascii="宋体" w:hAnsi="宋体" w:eastAsia="宋体" w:cs="宋体"/>
          <w:b w:val="0"/>
          <w:color w:val="auto"/>
          <w:spacing w:val="7"/>
          <w:kern w:val="0"/>
          <w:sz w:val="24"/>
          <w:szCs w:val="22"/>
          <w:highlight w:val="none"/>
        </w:rPr>
        <w:t>环境影响评价报告技术评估方案</w:t>
      </w:r>
      <w:r>
        <w:rPr>
          <w:rFonts w:hint="eastAsia" w:ascii="宋体" w:hAnsi="宋体" w:cs="宋体"/>
          <w:b w:val="0"/>
          <w:color w:val="auto"/>
          <w:spacing w:val="7"/>
          <w:kern w:val="0"/>
          <w:sz w:val="24"/>
          <w:szCs w:val="22"/>
          <w:highlight w:val="none"/>
          <w:lang w:eastAsia="zh-CN"/>
        </w:rPr>
        <w:t>，</w:t>
      </w:r>
      <w:r>
        <w:rPr>
          <w:rFonts w:hint="eastAsia" w:ascii="宋体" w:hAnsi="宋体" w:cs="宋体"/>
          <w:b w:val="0"/>
          <w:color w:val="auto"/>
          <w:spacing w:val="7"/>
          <w:kern w:val="0"/>
          <w:sz w:val="24"/>
          <w:szCs w:val="22"/>
          <w:highlight w:val="none"/>
          <w:lang w:val="en-US" w:eastAsia="zh-CN"/>
        </w:rPr>
        <w:t>方案内容至少包括</w:t>
      </w:r>
      <w:r>
        <w:rPr>
          <w:rFonts w:hint="eastAsia" w:ascii="宋体" w:hAnsi="宋体" w:eastAsia="宋体" w:cs="宋体"/>
          <w:b w:val="0"/>
          <w:color w:val="auto"/>
          <w:spacing w:val="7"/>
          <w:kern w:val="0"/>
          <w:sz w:val="24"/>
          <w:szCs w:val="22"/>
          <w:highlight w:val="none"/>
          <w:lang w:eastAsia="zh-CN"/>
        </w:rPr>
        <w:t>：</w:t>
      </w:r>
      <w:r>
        <w:rPr>
          <w:rFonts w:hint="default" w:ascii="宋体" w:hAnsi="宋体" w:eastAsia="宋体" w:cs="宋体"/>
          <w:b w:val="0"/>
          <w:color w:val="auto"/>
          <w:spacing w:val="7"/>
          <w:sz w:val="24"/>
          <w:szCs w:val="22"/>
          <w:highlight w:val="none"/>
          <w:lang w:val="en-US" w:eastAsia="zh-CN" w:bidi="ar-SA"/>
        </w:rPr>
        <w:t>①</w:t>
      </w:r>
      <w:r>
        <w:rPr>
          <w:rFonts w:hint="eastAsia" w:ascii="宋体" w:hAnsi="宋体" w:eastAsia="宋体" w:cs="宋体"/>
          <w:b w:val="0"/>
          <w:color w:val="auto"/>
          <w:spacing w:val="7"/>
          <w:sz w:val="24"/>
          <w:szCs w:val="22"/>
          <w:highlight w:val="none"/>
          <w:lang w:val="en-US" w:eastAsia="zh-CN" w:bidi="ar-SA"/>
        </w:rPr>
        <w:t>项目背景及</w:t>
      </w:r>
      <w:r>
        <w:rPr>
          <w:rFonts w:hint="eastAsia" w:ascii="宋体" w:hAnsi="宋体" w:eastAsia="宋体" w:cs="宋体"/>
          <w:color w:val="auto"/>
          <w:sz w:val="24"/>
          <w:szCs w:val="24"/>
          <w:highlight w:val="none"/>
        </w:rPr>
        <w:t>现状情况</w:t>
      </w:r>
      <w:r>
        <w:rPr>
          <w:rFonts w:hint="default" w:ascii="宋体" w:hAnsi="宋体" w:eastAsia="宋体" w:cs="宋体"/>
          <w:b w:val="0"/>
          <w:color w:val="auto"/>
          <w:spacing w:val="7"/>
          <w:sz w:val="24"/>
          <w:szCs w:val="22"/>
          <w:highlight w:val="none"/>
          <w:lang w:val="en-US" w:eastAsia="zh-CN" w:bidi="ar-SA"/>
        </w:rPr>
        <w:t>②评估程序③工作流程④技术要点⑤</w:t>
      </w:r>
      <w:r>
        <w:rPr>
          <w:rFonts w:hint="eastAsia" w:ascii="宋体" w:hAnsi="宋体" w:eastAsia="宋体" w:cs="宋体"/>
          <w:b w:val="0"/>
          <w:color w:val="auto"/>
          <w:spacing w:val="7"/>
          <w:sz w:val="24"/>
          <w:szCs w:val="22"/>
          <w:highlight w:val="none"/>
          <w:lang w:val="en-US" w:eastAsia="zh-CN" w:bidi="ar-SA"/>
        </w:rPr>
        <w:t>对本项目的重点难点分析认</w:t>
      </w:r>
      <w:r>
        <w:rPr>
          <w:rFonts w:hint="eastAsia" w:ascii="宋体" w:hAnsi="宋体" w:eastAsia="Times New Roman" w:cs="宋体"/>
          <w:color w:val="auto"/>
          <w:sz w:val="24"/>
          <w:szCs w:val="24"/>
          <w:highlight w:val="none"/>
        </w:rPr>
        <w:t>识</w:t>
      </w:r>
      <w:r>
        <w:rPr>
          <w:rFonts w:hint="eastAsia" w:ascii="宋体" w:hAnsi="宋体" w:eastAsia="宋体" w:cs="宋体"/>
          <w:color w:val="auto"/>
          <w:sz w:val="24"/>
          <w:szCs w:val="24"/>
          <w:highlight w:val="none"/>
          <w:lang w:val="en-US" w:eastAsia="zh-CN"/>
        </w:rPr>
        <w:t>及</w:t>
      </w:r>
      <w:r>
        <w:rPr>
          <w:rFonts w:hint="default" w:ascii="宋体" w:hAnsi="宋体" w:eastAsia="宋体" w:cs="宋体"/>
          <w:b w:val="0"/>
          <w:color w:val="auto"/>
          <w:spacing w:val="7"/>
          <w:sz w:val="24"/>
          <w:szCs w:val="22"/>
          <w:highlight w:val="none"/>
          <w:lang w:val="en-US" w:eastAsia="zh-CN" w:bidi="ar-SA"/>
        </w:rPr>
        <w:t>针对重点难点的应对策略等</w:t>
      </w:r>
      <w:r>
        <w:rPr>
          <w:rFonts w:hint="eastAsia" w:ascii="宋体" w:hAnsi="宋体" w:eastAsia="宋体" w:cs="宋体"/>
          <w:b w:val="0"/>
          <w:color w:val="auto"/>
          <w:spacing w:val="7"/>
          <w:sz w:val="24"/>
          <w:szCs w:val="22"/>
          <w:highlight w:val="none"/>
          <w:lang w:val="en-US" w:eastAsia="zh-CN" w:bidi="ar-SA"/>
        </w:rPr>
        <w:t>。</w:t>
      </w:r>
    </w:p>
    <w:p w14:paraId="5F4F36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508" w:firstLineChars="200"/>
        <w:jc w:val="left"/>
        <w:textAlignment w:val="auto"/>
        <w:outlineLvl w:val="9"/>
        <w:rPr>
          <w:rFonts w:hint="eastAsia" w:ascii="宋体" w:hAnsi="宋体" w:eastAsia="宋体" w:cs="宋体"/>
          <w:b w:val="0"/>
          <w:color w:val="auto"/>
          <w:spacing w:val="7"/>
          <w:sz w:val="24"/>
          <w:szCs w:val="22"/>
          <w:highlight w:val="none"/>
          <w:lang w:val="en-US" w:eastAsia="zh-CN" w:bidi="ar-SA"/>
        </w:rPr>
      </w:pPr>
      <w:r>
        <w:rPr>
          <w:rFonts w:hint="eastAsia" w:ascii="宋体" w:hAnsi="宋体" w:eastAsia="宋体" w:cs="宋体"/>
          <w:b w:val="0"/>
          <w:color w:val="auto"/>
          <w:spacing w:val="7"/>
          <w:sz w:val="24"/>
          <w:szCs w:val="22"/>
          <w:highlight w:val="none"/>
          <w:lang w:val="en-US" w:eastAsia="zh-CN" w:bidi="ar-SA"/>
        </w:rPr>
        <w:t>1.1项目背景及</w:t>
      </w:r>
      <w:r>
        <w:rPr>
          <w:rFonts w:hint="eastAsia" w:ascii="宋体" w:hAnsi="宋体" w:eastAsia="宋体" w:cs="宋体"/>
          <w:color w:val="auto"/>
          <w:sz w:val="24"/>
          <w:szCs w:val="24"/>
          <w:highlight w:val="none"/>
        </w:rPr>
        <w:t>现状情况</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包括但不限</w:t>
      </w:r>
      <w:r>
        <w:rPr>
          <w:rFonts w:hint="eastAsia" w:ascii="宋体" w:hAnsi="宋体" w:eastAsia="宋体" w:cs="宋体"/>
          <w:b w:val="0"/>
          <w:color w:val="auto"/>
          <w:spacing w:val="7"/>
          <w:sz w:val="24"/>
          <w:szCs w:val="22"/>
          <w:highlight w:val="none"/>
          <w:lang w:val="en-US" w:eastAsia="zh-CN" w:bidi="ar-SA"/>
        </w:rPr>
        <w:t>于行业背景、市场需求、技术发展及政策环境等。</w:t>
      </w:r>
    </w:p>
    <w:p w14:paraId="1A0219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508" w:firstLineChars="200"/>
        <w:jc w:val="left"/>
        <w:textAlignment w:val="auto"/>
        <w:outlineLvl w:val="9"/>
        <w:rPr>
          <w:rFonts w:hint="eastAsia" w:ascii="宋体" w:hAnsi="宋体" w:eastAsia="宋体" w:cs="宋体"/>
          <w:b w:val="0"/>
          <w:color w:val="auto"/>
          <w:spacing w:val="7"/>
          <w:sz w:val="24"/>
          <w:szCs w:val="22"/>
          <w:highlight w:val="none"/>
          <w:lang w:val="en-US" w:eastAsia="zh-CN" w:bidi="ar-SA"/>
        </w:rPr>
      </w:pPr>
      <w:r>
        <w:rPr>
          <w:rFonts w:hint="eastAsia" w:ascii="宋体" w:hAnsi="宋体" w:eastAsia="宋体" w:cs="宋体"/>
          <w:b w:val="0"/>
          <w:color w:val="auto"/>
          <w:spacing w:val="7"/>
          <w:sz w:val="24"/>
          <w:szCs w:val="22"/>
          <w:highlight w:val="none"/>
          <w:lang w:val="en-US" w:eastAsia="zh-CN" w:bidi="ar-SA"/>
        </w:rPr>
        <w:t>1.2</w:t>
      </w:r>
      <w:r>
        <w:rPr>
          <w:rFonts w:hint="default" w:ascii="宋体" w:hAnsi="宋体" w:eastAsia="宋体" w:cs="宋体"/>
          <w:b w:val="0"/>
          <w:color w:val="auto"/>
          <w:spacing w:val="7"/>
          <w:sz w:val="24"/>
          <w:szCs w:val="22"/>
          <w:highlight w:val="none"/>
          <w:lang w:val="en-US" w:eastAsia="zh-CN" w:bidi="ar-SA"/>
        </w:rPr>
        <w:t>评估程序</w:t>
      </w:r>
      <w:r>
        <w:rPr>
          <w:rFonts w:hint="eastAsia" w:ascii="宋体" w:hAnsi="宋体" w:eastAsia="宋体" w:cs="宋体"/>
          <w:b w:val="0"/>
          <w:color w:val="auto"/>
          <w:spacing w:val="7"/>
          <w:sz w:val="24"/>
          <w:szCs w:val="22"/>
          <w:highlight w:val="none"/>
          <w:lang w:val="en-US" w:eastAsia="zh-CN" w:bidi="ar-SA"/>
        </w:rPr>
        <w:t>：包括但不限于</w:t>
      </w:r>
      <w:r>
        <w:rPr>
          <w:rFonts w:hint="default" w:ascii="宋体" w:hAnsi="宋体" w:eastAsia="宋体" w:cs="宋体"/>
          <w:b w:val="0"/>
          <w:color w:val="auto"/>
          <w:spacing w:val="7"/>
          <w:sz w:val="24"/>
          <w:szCs w:val="22"/>
          <w:highlight w:val="none"/>
          <w:lang w:val="en-US" w:eastAsia="zh-CN" w:bidi="ar-SA"/>
        </w:rPr>
        <w:t>明确评估基本事项</w:t>
      </w:r>
      <w:r>
        <w:rPr>
          <w:rFonts w:hint="eastAsia" w:ascii="宋体" w:hAnsi="宋体" w:eastAsia="宋体" w:cs="宋体"/>
          <w:b w:val="0"/>
          <w:color w:val="auto"/>
          <w:spacing w:val="7"/>
          <w:sz w:val="24"/>
          <w:szCs w:val="22"/>
          <w:highlight w:val="none"/>
          <w:lang w:val="en-US" w:eastAsia="zh-CN" w:bidi="ar-SA"/>
        </w:rPr>
        <w:t>、</w:t>
      </w:r>
      <w:r>
        <w:rPr>
          <w:rFonts w:hint="default" w:ascii="宋体" w:hAnsi="宋体" w:eastAsia="宋体" w:cs="宋体"/>
          <w:b w:val="0"/>
          <w:color w:val="auto"/>
          <w:spacing w:val="7"/>
          <w:sz w:val="24"/>
          <w:szCs w:val="22"/>
          <w:highlight w:val="none"/>
          <w:lang w:val="en-US" w:eastAsia="zh-CN" w:bidi="ar-SA"/>
        </w:rPr>
        <w:t>签订业务约定书</w:t>
      </w:r>
      <w:r>
        <w:rPr>
          <w:rFonts w:hint="eastAsia" w:ascii="宋体" w:hAnsi="宋体" w:eastAsia="宋体" w:cs="宋体"/>
          <w:b w:val="0"/>
          <w:color w:val="auto"/>
          <w:spacing w:val="7"/>
          <w:sz w:val="24"/>
          <w:szCs w:val="22"/>
          <w:highlight w:val="none"/>
          <w:lang w:val="en-US" w:eastAsia="zh-CN" w:bidi="ar-SA"/>
        </w:rPr>
        <w:t>、</w:t>
      </w:r>
      <w:r>
        <w:rPr>
          <w:rFonts w:hint="default" w:ascii="宋体" w:hAnsi="宋体" w:eastAsia="宋体" w:cs="宋体"/>
          <w:b w:val="0"/>
          <w:color w:val="auto"/>
          <w:spacing w:val="7"/>
          <w:sz w:val="24"/>
          <w:szCs w:val="22"/>
          <w:highlight w:val="none"/>
          <w:lang w:val="en-US" w:eastAsia="zh-CN" w:bidi="ar-SA"/>
        </w:rPr>
        <w:t>编制评估计划</w:t>
      </w:r>
      <w:r>
        <w:rPr>
          <w:rFonts w:hint="eastAsia" w:ascii="宋体" w:hAnsi="宋体" w:eastAsia="宋体" w:cs="宋体"/>
          <w:b w:val="0"/>
          <w:color w:val="auto"/>
          <w:spacing w:val="7"/>
          <w:sz w:val="24"/>
          <w:szCs w:val="22"/>
          <w:highlight w:val="none"/>
          <w:lang w:val="en-US" w:eastAsia="zh-CN" w:bidi="ar-SA"/>
        </w:rPr>
        <w:t>、</w:t>
      </w:r>
      <w:r>
        <w:rPr>
          <w:rFonts w:hint="default" w:ascii="宋体" w:hAnsi="宋体" w:eastAsia="宋体" w:cs="宋体"/>
          <w:b w:val="0"/>
          <w:color w:val="auto"/>
          <w:spacing w:val="7"/>
          <w:sz w:val="24"/>
          <w:szCs w:val="22"/>
          <w:highlight w:val="none"/>
          <w:lang w:val="en-US" w:eastAsia="zh-CN" w:bidi="ar-SA"/>
        </w:rPr>
        <w:t>现场调查与资料收集</w:t>
      </w:r>
      <w:r>
        <w:rPr>
          <w:rFonts w:hint="eastAsia" w:ascii="宋体" w:hAnsi="宋体" w:eastAsia="宋体" w:cs="宋体"/>
          <w:b w:val="0"/>
          <w:color w:val="auto"/>
          <w:spacing w:val="7"/>
          <w:sz w:val="24"/>
          <w:szCs w:val="22"/>
          <w:highlight w:val="none"/>
          <w:lang w:val="en-US" w:eastAsia="zh-CN" w:bidi="ar-SA"/>
        </w:rPr>
        <w:t>、</w:t>
      </w:r>
      <w:r>
        <w:rPr>
          <w:rFonts w:hint="default" w:ascii="宋体" w:hAnsi="宋体" w:eastAsia="宋体" w:cs="宋体"/>
          <w:b w:val="0"/>
          <w:color w:val="auto"/>
          <w:spacing w:val="7"/>
          <w:sz w:val="24"/>
          <w:szCs w:val="22"/>
          <w:highlight w:val="none"/>
          <w:lang w:val="en-US" w:eastAsia="zh-CN" w:bidi="ar-SA"/>
        </w:rPr>
        <w:t>评定估算与形成结论</w:t>
      </w:r>
      <w:r>
        <w:rPr>
          <w:rFonts w:hint="eastAsia" w:ascii="宋体" w:hAnsi="宋体" w:eastAsia="宋体" w:cs="宋体"/>
          <w:b w:val="0"/>
          <w:color w:val="auto"/>
          <w:spacing w:val="7"/>
          <w:sz w:val="24"/>
          <w:szCs w:val="22"/>
          <w:highlight w:val="none"/>
          <w:lang w:val="en-US" w:eastAsia="zh-CN" w:bidi="ar-SA"/>
        </w:rPr>
        <w:t>及</w:t>
      </w:r>
      <w:r>
        <w:rPr>
          <w:rFonts w:hint="default" w:ascii="宋体" w:hAnsi="宋体" w:eastAsia="宋体" w:cs="宋体"/>
          <w:b w:val="0"/>
          <w:color w:val="auto"/>
          <w:spacing w:val="7"/>
          <w:sz w:val="24"/>
          <w:szCs w:val="22"/>
          <w:highlight w:val="none"/>
          <w:lang w:val="en-US" w:eastAsia="zh-CN" w:bidi="ar-SA"/>
        </w:rPr>
        <w:t>编制与提交评估报告</w:t>
      </w:r>
      <w:r>
        <w:rPr>
          <w:rFonts w:hint="eastAsia" w:ascii="宋体" w:hAnsi="宋体" w:eastAsia="宋体" w:cs="宋体"/>
          <w:b w:val="0"/>
          <w:color w:val="auto"/>
          <w:spacing w:val="7"/>
          <w:sz w:val="24"/>
          <w:szCs w:val="22"/>
          <w:highlight w:val="none"/>
          <w:lang w:val="en-US" w:eastAsia="zh-CN" w:bidi="ar-SA"/>
        </w:rPr>
        <w:t>。</w:t>
      </w:r>
    </w:p>
    <w:p w14:paraId="4B6A08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508" w:firstLineChars="200"/>
        <w:jc w:val="left"/>
        <w:textAlignment w:val="auto"/>
        <w:outlineLvl w:val="9"/>
        <w:rPr>
          <w:rFonts w:hint="eastAsia" w:ascii="宋体" w:hAnsi="宋体" w:eastAsia="宋体" w:cs="宋体"/>
          <w:b w:val="0"/>
          <w:color w:val="auto"/>
          <w:spacing w:val="7"/>
          <w:sz w:val="24"/>
          <w:szCs w:val="22"/>
          <w:highlight w:val="none"/>
          <w:lang w:val="en-US" w:eastAsia="zh-CN" w:bidi="ar-SA"/>
        </w:rPr>
      </w:pPr>
      <w:r>
        <w:rPr>
          <w:rFonts w:hint="eastAsia" w:ascii="宋体" w:hAnsi="宋体" w:eastAsia="宋体" w:cs="宋体"/>
          <w:b w:val="0"/>
          <w:color w:val="auto"/>
          <w:spacing w:val="7"/>
          <w:sz w:val="24"/>
          <w:szCs w:val="22"/>
          <w:highlight w:val="none"/>
          <w:lang w:val="en-US" w:eastAsia="zh-CN" w:bidi="ar-SA"/>
        </w:rPr>
        <w:t>1.3</w:t>
      </w:r>
      <w:r>
        <w:rPr>
          <w:rFonts w:hint="default" w:ascii="宋体" w:hAnsi="宋体" w:eastAsia="宋体" w:cs="宋体"/>
          <w:b w:val="0"/>
          <w:color w:val="auto"/>
          <w:spacing w:val="7"/>
          <w:sz w:val="24"/>
          <w:szCs w:val="22"/>
          <w:highlight w:val="none"/>
          <w:lang w:val="en-US" w:eastAsia="zh-CN" w:bidi="ar-SA"/>
        </w:rPr>
        <w:t>工作流程</w:t>
      </w:r>
      <w:r>
        <w:rPr>
          <w:rFonts w:hint="eastAsia" w:ascii="宋体" w:hAnsi="宋体" w:eastAsia="宋体" w:cs="宋体"/>
          <w:b w:val="0"/>
          <w:color w:val="auto"/>
          <w:spacing w:val="7"/>
          <w:sz w:val="24"/>
          <w:szCs w:val="22"/>
          <w:highlight w:val="none"/>
          <w:lang w:val="en-US" w:eastAsia="zh-CN" w:bidi="ar-SA"/>
        </w:rPr>
        <w:t>：包括但不限于任务明确、计划安排、执行过程、监控与调整及完成与评估。</w:t>
      </w:r>
    </w:p>
    <w:p w14:paraId="4ECEC1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508" w:firstLineChars="200"/>
        <w:jc w:val="left"/>
        <w:textAlignment w:val="auto"/>
        <w:outlineLvl w:val="9"/>
        <w:rPr>
          <w:rFonts w:hint="default" w:ascii="宋体" w:hAnsi="宋体" w:eastAsia="宋体" w:cs="宋体"/>
          <w:b w:val="0"/>
          <w:color w:val="auto"/>
          <w:spacing w:val="7"/>
          <w:sz w:val="24"/>
          <w:szCs w:val="22"/>
          <w:highlight w:val="none"/>
          <w:lang w:val="en-US" w:eastAsia="zh-CN" w:bidi="ar-SA"/>
        </w:rPr>
      </w:pPr>
      <w:r>
        <w:rPr>
          <w:rFonts w:hint="eastAsia" w:ascii="宋体" w:hAnsi="宋体" w:eastAsia="宋体" w:cs="宋体"/>
          <w:b w:val="0"/>
          <w:color w:val="auto"/>
          <w:spacing w:val="7"/>
          <w:sz w:val="24"/>
          <w:szCs w:val="22"/>
          <w:highlight w:val="none"/>
          <w:lang w:val="en-US" w:eastAsia="zh-CN" w:bidi="ar-SA"/>
        </w:rPr>
        <w:t>1.4</w:t>
      </w:r>
      <w:r>
        <w:rPr>
          <w:rFonts w:hint="default" w:ascii="宋体" w:hAnsi="宋体" w:eastAsia="宋体" w:cs="宋体"/>
          <w:b w:val="0"/>
          <w:color w:val="auto"/>
          <w:spacing w:val="7"/>
          <w:sz w:val="24"/>
          <w:szCs w:val="22"/>
          <w:highlight w:val="none"/>
          <w:lang w:val="en-US" w:eastAsia="zh-CN" w:bidi="ar-SA"/>
        </w:rPr>
        <w:t>技术要点</w:t>
      </w:r>
      <w:r>
        <w:rPr>
          <w:rFonts w:hint="eastAsia" w:ascii="宋体" w:hAnsi="宋体" w:cs="宋体"/>
          <w:b w:val="0"/>
          <w:color w:val="auto"/>
          <w:spacing w:val="7"/>
          <w:sz w:val="24"/>
          <w:szCs w:val="22"/>
          <w:highlight w:val="none"/>
          <w:lang w:val="en-US" w:eastAsia="zh-CN" w:bidi="ar-SA"/>
        </w:rPr>
        <w:t>：</w:t>
      </w:r>
      <w:r>
        <w:rPr>
          <w:rFonts w:hint="eastAsia" w:ascii="宋体" w:hAnsi="宋体" w:cs="宋体"/>
          <w:color w:val="auto"/>
          <w:sz w:val="24"/>
          <w:szCs w:val="24"/>
          <w:highlight w:val="none"/>
          <w:lang w:val="en-US" w:eastAsia="zh-CN"/>
        </w:rPr>
        <w:t>包括但不限于技术的核心原理、关键特点、优缺点以及适用范围等内容。</w:t>
      </w:r>
    </w:p>
    <w:p w14:paraId="6425FF7E">
      <w:pPr>
        <w:keepNext w:val="0"/>
        <w:keepLines w:val="0"/>
        <w:pageBreakBefore w:val="0"/>
        <w:widowControl w:val="0"/>
        <w:wordWrap/>
        <w:overflowPunct/>
        <w:topLinePunct w:val="0"/>
        <w:bidi w:val="0"/>
        <w:spacing w:line="360" w:lineRule="auto"/>
        <w:ind w:left="0" w:right="0" w:rightChars="0" w:firstLine="508" w:firstLineChars="200"/>
        <w:jc w:val="left"/>
        <w:rPr>
          <w:rFonts w:hint="default" w:ascii="宋体" w:hAnsi="宋体" w:eastAsia="宋体" w:cs="宋体"/>
          <w:b w:val="0"/>
          <w:color w:val="auto"/>
          <w:spacing w:val="7"/>
          <w:sz w:val="24"/>
          <w:szCs w:val="22"/>
          <w:highlight w:val="none"/>
          <w:lang w:val="en-US" w:eastAsia="zh-CN" w:bidi="ar-SA"/>
        </w:rPr>
      </w:pPr>
      <w:r>
        <w:rPr>
          <w:rFonts w:hint="eastAsia" w:ascii="宋体" w:hAnsi="宋体" w:eastAsia="宋体" w:cs="宋体"/>
          <w:b w:val="0"/>
          <w:color w:val="auto"/>
          <w:spacing w:val="7"/>
          <w:sz w:val="24"/>
          <w:szCs w:val="22"/>
          <w:highlight w:val="none"/>
          <w:lang w:val="en-US" w:eastAsia="zh-CN" w:bidi="ar-SA"/>
        </w:rPr>
        <w:t>1.5对本项目的重点难点分析认</w:t>
      </w:r>
      <w:r>
        <w:rPr>
          <w:rFonts w:hint="eastAsia" w:ascii="宋体" w:hAnsi="宋体" w:eastAsia="Times New Roman" w:cs="宋体"/>
          <w:color w:val="auto"/>
          <w:sz w:val="24"/>
          <w:szCs w:val="24"/>
          <w:highlight w:val="none"/>
        </w:rPr>
        <w:t>识</w:t>
      </w:r>
      <w:r>
        <w:rPr>
          <w:rFonts w:hint="eastAsia" w:ascii="宋体" w:hAnsi="宋体" w:eastAsia="宋体" w:cs="宋体"/>
          <w:color w:val="auto"/>
          <w:sz w:val="24"/>
          <w:szCs w:val="24"/>
          <w:highlight w:val="none"/>
          <w:lang w:val="en-US" w:eastAsia="zh-CN"/>
        </w:rPr>
        <w:t>及</w:t>
      </w:r>
      <w:r>
        <w:rPr>
          <w:rFonts w:hint="default" w:ascii="宋体" w:hAnsi="宋体" w:eastAsia="宋体" w:cs="宋体"/>
          <w:b w:val="0"/>
          <w:color w:val="auto"/>
          <w:spacing w:val="7"/>
          <w:sz w:val="24"/>
          <w:szCs w:val="22"/>
          <w:highlight w:val="none"/>
          <w:lang w:val="en-US" w:eastAsia="zh-CN" w:bidi="ar-SA"/>
        </w:rPr>
        <w:t>针对重点难点的应对策略</w:t>
      </w:r>
      <w:r>
        <w:rPr>
          <w:rFonts w:hint="eastAsia" w:ascii="宋体" w:hAnsi="宋体" w:cs="宋体"/>
          <w:b w:val="0"/>
          <w:color w:val="auto"/>
          <w:spacing w:val="7"/>
          <w:sz w:val="24"/>
          <w:szCs w:val="22"/>
          <w:highlight w:val="none"/>
          <w:lang w:val="en-US" w:eastAsia="zh-CN" w:bidi="ar-SA"/>
        </w:rPr>
        <w:t>：</w:t>
      </w:r>
      <w:r>
        <w:rPr>
          <w:rFonts w:hint="eastAsia" w:ascii="宋体" w:hAnsi="宋体" w:cs="宋体"/>
          <w:color w:val="auto"/>
          <w:sz w:val="24"/>
          <w:szCs w:val="24"/>
          <w:highlight w:val="none"/>
          <w:lang w:val="en-US" w:eastAsia="zh-CN"/>
        </w:rPr>
        <w:t>包括但不限于</w:t>
      </w:r>
      <w:r>
        <w:rPr>
          <w:rFonts w:hint="eastAsia" w:ascii="宋体" w:hAnsi="宋体" w:eastAsia="宋体" w:cs="宋体"/>
          <w:b w:val="0"/>
          <w:bCs w:val="0"/>
          <w:color w:val="auto"/>
          <w:kern w:val="0"/>
          <w:sz w:val="24"/>
          <w:szCs w:val="24"/>
          <w:highlight w:val="none"/>
          <w:lang w:val="en-US" w:eastAsia="zh-CN" w:bidi="ar"/>
        </w:rPr>
        <w:t>制定针对本项目</w:t>
      </w:r>
      <w:r>
        <w:rPr>
          <w:rStyle w:val="17"/>
          <w:rFonts w:hint="eastAsia" w:ascii="Arial" w:hAnsi="Arial" w:eastAsia="宋体" w:cs="Arial"/>
          <w:b w:val="0"/>
          <w:bCs w:val="0"/>
          <w:i w:val="0"/>
          <w:iCs w:val="0"/>
          <w:caps w:val="0"/>
          <w:color w:val="auto"/>
          <w:spacing w:val="0"/>
          <w:sz w:val="24"/>
          <w:szCs w:val="24"/>
          <w:highlight w:val="none"/>
          <w:shd w:val="clear" w:fill="FFFFFF"/>
          <w:lang w:val="en-US" w:eastAsia="zh-CN"/>
        </w:rPr>
        <w:t>不相同的技术措施；</w:t>
      </w:r>
      <w:r>
        <w:rPr>
          <w:rFonts w:ascii="Arial" w:hAnsi="Arial" w:eastAsia="Arial" w:cs="Arial"/>
          <w:b w:val="0"/>
          <w:bCs w:val="0"/>
          <w:i w:val="0"/>
          <w:iCs w:val="0"/>
          <w:caps w:val="0"/>
          <w:color w:val="auto"/>
          <w:spacing w:val="0"/>
          <w:sz w:val="24"/>
          <w:szCs w:val="24"/>
          <w:highlight w:val="none"/>
          <w:shd w:val="clear" w:fill="FFFFFF"/>
        </w:rPr>
        <w:t>‌</w:t>
      </w:r>
      <w:r>
        <w:rPr>
          <w:rStyle w:val="17"/>
          <w:rFonts w:hint="default" w:ascii="Arial" w:hAnsi="Arial" w:eastAsia="Arial" w:cs="Arial"/>
          <w:b w:val="0"/>
          <w:bCs w:val="0"/>
          <w:i w:val="0"/>
          <w:iCs w:val="0"/>
          <w:caps w:val="0"/>
          <w:color w:val="auto"/>
          <w:spacing w:val="0"/>
          <w:sz w:val="24"/>
          <w:szCs w:val="24"/>
          <w:highlight w:val="none"/>
          <w:shd w:val="clear" w:fill="FFFFFF"/>
        </w:rPr>
        <w:t>质量</w:t>
      </w:r>
      <w:r>
        <w:rPr>
          <w:rStyle w:val="17"/>
          <w:rFonts w:hint="eastAsia" w:ascii="Arial" w:hAnsi="Arial" w:eastAsia="宋体" w:cs="Arial"/>
          <w:b w:val="0"/>
          <w:bCs w:val="0"/>
          <w:i w:val="0"/>
          <w:iCs w:val="0"/>
          <w:caps w:val="0"/>
          <w:color w:val="auto"/>
          <w:spacing w:val="0"/>
          <w:sz w:val="24"/>
          <w:szCs w:val="24"/>
          <w:highlight w:val="none"/>
          <w:shd w:val="clear" w:fill="FFFFFF"/>
          <w:lang w:val="en-US" w:eastAsia="zh-CN"/>
        </w:rPr>
        <w:t>保证措施及如何避免多种措施等。</w:t>
      </w:r>
    </w:p>
    <w:p w14:paraId="361C52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jc w:val="left"/>
        <w:textAlignment w:val="auto"/>
        <w:rPr>
          <w:rFonts w:hint="default" w:ascii="宋体" w:hAnsi="宋体" w:eastAsia="宋体" w:cs="宋体"/>
          <w:b w:val="0"/>
          <w:color w:val="auto"/>
          <w:spacing w:val="7"/>
          <w:sz w:val="24"/>
          <w:szCs w:val="22"/>
          <w:highlight w:val="none"/>
          <w:lang w:val="en-US" w:eastAsia="zh-CN" w:bidi="ar-SA"/>
        </w:rPr>
      </w:pPr>
      <w:r>
        <w:rPr>
          <w:rFonts w:hint="eastAsia" w:ascii="宋体" w:hAnsi="宋体" w:cs="宋体"/>
          <w:b w:val="0"/>
          <w:color w:val="auto"/>
          <w:spacing w:val="7"/>
          <w:sz w:val="24"/>
          <w:szCs w:val="22"/>
          <w:highlight w:val="none"/>
          <w:lang w:val="en-US" w:eastAsia="zh-CN" w:bidi="ar-SA"/>
        </w:rPr>
        <w:t>2、</w:t>
      </w:r>
      <w:r>
        <w:rPr>
          <w:rFonts w:hint="default" w:ascii="宋体" w:hAnsi="宋体" w:eastAsia="宋体" w:cs="宋体"/>
          <w:b w:val="0"/>
          <w:color w:val="auto"/>
          <w:spacing w:val="7"/>
          <w:sz w:val="24"/>
          <w:szCs w:val="22"/>
          <w:highlight w:val="none"/>
          <w:lang w:val="en-US" w:eastAsia="zh-CN" w:bidi="ar-SA"/>
        </w:rPr>
        <w:t>质量保证与质量控制方案</w:t>
      </w:r>
    </w:p>
    <w:p w14:paraId="490ABB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rPr>
          <w:rFonts w:hint="default" w:ascii="宋体" w:hAnsi="宋体" w:eastAsia="宋体" w:cs="宋体"/>
          <w:b w:val="0"/>
          <w:color w:val="auto"/>
          <w:spacing w:val="7"/>
          <w:sz w:val="24"/>
          <w:szCs w:val="22"/>
          <w:highlight w:val="none"/>
          <w:lang w:val="en-US" w:eastAsia="zh-CN" w:bidi="ar-SA"/>
        </w:rPr>
      </w:pPr>
      <w:r>
        <w:rPr>
          <w:rFonts w:hint="eastAsia" w:ascii="宋体" w:hAnsi="宋体" w:eastAsia="宋体"/>
          <w:b w:val="0"/>
          <w:bCs w:val="0"/>
          <w:color w:val="auto"/>
          <w:sz w:val="24"/>
          <w:szCs w:val="24"/>
          <w:highlight w:val="none"/>
          <w:lang w:val="en-US" w:eastAsia="zh-CN"/>
        </w:rPr>
        <w:t>供应商</w:t>
      </w:r>
      <w:r>
        <w:rPr>
          <w:rFonts w:hint="eastAsia" w:ascii="宋体" w:hAnsi="宋体"/>
          <w:b w:val="0"/>
          <w:bCs w:val="0"/>
          <w:color w:val="auto"/>
          <w:sz w:val="24"/>
          <w:szCs w:val="24"/>
          <w:highlight w:val="none"/>
          <w:lang w:val="en-US" w:eastAsia="zh-CN"/>
        </w:rPr>
        <w:t>需要针对本项目提供</w:t>
      </w:r>
      <w:r>
        <w:rPr>
          <w:rFonts w:hint="default" w:ascii="宋体" w:hAnsi="宋体" w:eastAsia="宋体" w:cs="宋体"/>
          <w:b w:val="0"/>
          <w:color w:val="auto"/>
          <w:spacing w:val="7"/>
          <w:sz w:val="24"/>
          <w:szCs w:val="22"/>
          <w:highlight w:val="none"/>
          <w:lang w:val="en-US" w:eastAsia="zh-CN" w:bidi="ar-SA"/>
        </w:rPr>
        <w:t>质量保证与质量控制方案</w:t>
      </w:r>
      <w:r>
        <w:rPr>
          <w:rFonts w:hint="eastAsia" w:ascii="宋体" w:hAnsi="宋体" w:eastAsia="宋体" w:cs="宋体"/>
          <w:b w:val="0"/>
          <w:color w:val="auto"/>
          <w:spacing w:val="7"/>
          <w:sz w:val="24"/>
          <w:szCs w:val="22"/>
          <w:highlight w:val="none"/>
          <w:lang w:val="en-US" w:eastAsia="zh-CN" w:bidi="ar-SA"/>
        </w:rPr>
        <w:t>，</w:t>
      </w:r>
      <w:r>
        <w:rPr>
          <w:rFonts w:hint="eastAsia" w:ascii="宋体" w:hAnsi="宋体" w:cs="宋体"/>
          <w:b w:val="0"/>
          <w:color w:val="auto"/>
          <w:spacing w:val="7"/>
          <w:kern w:val="0"/>
          <w:sz w:val="24"/>
          <w:szCs w:val="22"/>
          <w:highlight w:val="none"/>
          <w:lang w:val="en-US" w:eastAsia="zh-CN"/>
        </w:rPr>
        <w:t>内容至少包括</w:t>
      </w:r>
      <w:r>
        <w:rPr>
          <w:rFonts w:hint="eastAsia" w:ascii="宋体" w:hAnsi="宋体" w:eastAsia="宋体" w:cs="宋体"/>
          <w:b w:val="0"/>
          <w:color w:val="auto"/>
          <w:spacing w:val="7"/>
          <w:kern w:val="0"/>
          <w:sz w:val="24"/>
          <w:szCs w:val="22"/>
          <w:highlight w:val="none"/>
          <w:lang w:eastAsia="zh-CN"/>
        </w:rPr>
        <w:t>：</w:t>
      </w:r>
      <w:r>
        <w:rPr>
          <w:rFonts w:hint="default" w:ascii="宋体" w:hAnsi="宋体" w:eastAsia="宋体" w:cs="宋体"/>
          <w:b w:val="0"/>
          <w:color w:val="auto"/>
          <w:spacing w:val="7"/>
          <w:sz w:val="24"/>
          <w:szCs w:val="22"/>
          <w:highlight w:val="none"/>
          <w:lang w:val="en-US" w:eastAsia="zh-CN" w:bidi="ar-SA"/>
        </w:rPr>
        <w:t>①内控体系文件②人员管理方案</w:t>
      </w:r>
      <w:r>
        <w:rPr>
          <w:rFonts w:hint="eastAsia" w:ascii="宋体" w:hAnsi="宋体" w:cs="宋体"/>
          <w:b w:val="0"/>
          <w:color w:val="auto"/>
          <w:spacing w:val="7"/>
          <w:sz w:val="24"/>
          <w:szCs w:val="22"/>
          <w:highlight w:val="none"/>
          <w:lang w:val="en-US" w:eastAsia="zh-CN" w:bidi="ar-SA"/>
        </w:rPr>
        <w:t>③</w:t>
      </w:r>
      <w:r>
        <w:rPr>
          <w:rFonts w:hint="default" w:ascii="宋体" w:hAnsi="宋体" w:eastAsia="宋体" w:cs="宋体"/>
          <w:b w:val="0"/>
          <w:color w:val="auto"/>
          <w:spacing w:val="7"/>
          <w:sz w:val="24"/>
          <w:szCs w:val="22"/>
          <w:highlight w:val="none"/>
          <w:lang w:val="en-US" w:eastAsia="zh-CN" w:bidi="ar-SA"/>
        </w:rPr>
        <w:t>质控措施等</w:t>
      </w:r>
      <w:r>
        <w:rPr>
          <w:rFonts w:hint="eastAsia" w:ascii="宋体" w:hAnsi="宋体" w:eastAsia="宋体" w:cs="宋体"/>
          <w:b w:val="0"/>
          <w:color w:val="auto"/>
          <w:spacing w:val="7"/>
          <w:sz w:val="24"/>
          <w:szCs w:val="22"/>
          <w:highlight w:val="none"/>
          <w:lang w:val="en-US" w:eastAsia="zh-CN" w:bidi="ar-SA"/>
        </w:rPr>
        <w:t>。</w:t>
      </w:r>
    </w:p>
    <w:p w14:paraId="7FCCBB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508" w:firstLineChars="200"/>
        <w:jc w:val="left"/>
        <w:textAlignment w:val="auto"/>
        <w:rPr>
          <w:rFonts w:hint="eastAsia" w:ascii="宋体" w:hAnsi="宋体" w:eastAsia="宋体" w:cs="宋体"/>
          <w:b/>
          <w:bCs/>
          <w:color w:val="auto"/>
          <w:spacing w:val="7"/>
          <w:sz w:val="24"/>
          <w:szCs w:val="22"/>
          <w:highlight w:val="none"/>
          <w:lang w:val="en-US" w:eastAsia="zh-CN" w:bidi="ar-SA"/>
        </w:rPr>
      </w:pPr>
      <w:r>
        <w:rPr>
          <w:rFonts w:hint="eastAsia" w:ascii="宋体" w:hAnsi="宋体" w:cs="宋体"/>
          <w:b w:val="0"/>
          <w:color w:val="auto"/>
          <w:spacing w:val="7"/>
          <w:sz w:val="24"/>
          <w:szCs w:val="22"/>
          <w:highlight w:val="none"/>
          <w:lang w:val="en-US" w:eastAsia="zh-CN" w:bidi="ar-SA"/>
        </w:rPr>
        <w:t>2</w:t>
      </w:r>
      <w:r>
        <w:rPr>
          <w:rFonts w:hint="eastAsia" w:ascii="宋体" w:hAnsi="宋体" w:eastAsia="宋体" w:cs="宋体"/>
          <w:b w:val="0"/>
          <w:color w:val="auto"/>
          <w:spacing w:val="7"/>
          <w:sz w:val="24"/>
          <w:szCs w:val="22"/>
          <w:highlight w:val="none"/>
          <w:lang w:val="en-US" w:eastAsia="zh-CN" w:bidi="ar-SA"/>
        </w:rPr>
        <w:t>.1</w:t>
      </w:r>
      <w:r>
        <w:rPr>
          <w:rFonts w:hint="default" w:ascii="宋体" w:hAnsi="宋体" w:eastAsia="宋体" w:cs="宋体"/>
          <w:b w:val="0"/>
          <w:color w:val="auto"/>
          <w:spacing w:val="7"/>
          <w:sz w:val="24"/>
          <w:szCs w:val="22"/>
          <w:highlight w:val="none"/>
          <w:lang w:val="en-US" w:eastAsia="zh-CN" w:bidi="ar-SA"/>
        </w:rPr>
        <w:t>内控体系文件</w:t>
      </w:r>
      <w:r>
        <w:rPr>
          <w:rFonts w:hint="eastAsia" w:ascii="宋体" w:hAnsi="宋体" w:cs="宋体"/>
          <w:b w:val="0"/>
          <w:color w:val="auto"/>
          <w:spacing w:val="7"/>
          <w:sz w:val="24"/>
          <w:szCs w:val="22"/>
          <w:highlight w:val="none"/>
          <w:lang w:val="en-US" w:eastAsia="zh-CN" w:bidi="ar-SA"/>
        </w:rPr>
        <w:t>：</w:t>
      </w:r>
      <w:r>
        <w:rPr>
          <w:rFonts w:hint="eastAsia" w:ascii="宋体" w:hAnsi="宋体" w:cs="宋体"/>
          <w:b w:val="0"/>
          <w:color w:val="auto"/>
          <w:spacing w:val="7"/>
          <w:kern w:val="0"/>
          <w:sz w:val="24"/>
          <w:szCs w:val="22"/>
          <w:highlight w:val="none"/>
          <w:lang w:val="en-US" w:eastAsia="zh-CN"/>
        </w:rPr>
        <w:t>内容至少包括</w:t>
      </w:r>
      <w:r>
        <w:rPr>
          <w:rFonts w:hint="eastAsia" w:ascii="宋体" w:hAnsi="宋体" w:eastAsia="宋体" w:cs="宋体"/>
          <w:b w:val="0"/>
          <w:color w:val="auto"/>
          <w:spacing w:val="7"/>
          <w:kern w:val="0"/>
          <w:sz w:val="24"/>
          <w:szCs w:val="22"/>
          <w:highlight w:val="none"/>
          <w:lang w:eastAsia="zh-CN"/>
        </w:rPr>
        <w:t>：</w:t>
      </w:r>
      <w:r>
        <w:rPr>
          <w:rFonts w:ascii="Arial" w:hAnsi="Arial" w:eastAsia="Arial" w:cs="Arial"/>
          <w:i w:val="0"/>
          <w:iCs w:val="0"/>
          <w:caps w:val="0"/>
          <w:color w:val="auto"/>
          <w:spacing w:val="0"/>
          <w:sz w:val="24"/>
          <w:szCs w:val="24"/>
          <w:highlight w:val="none"/>
          <w:shd w:val="clear" w:fill="FFFFFF"/>
        </w:rPr>
        <w:t>‌</w:t>
      </w:r>
      <w:r>
        <w:rPr>
          <w:rFonts w:hint="default" w:ascii="Arial" w:hAnsi="Arial" w:eastAsia="Arial" w:cs="Arial"/>
          <w:i w:val="0"/>
          <w:iCs w:val="0"/>
          <w:caps w:val="0"/>
          <w:color w:val="auto"/>
          <w:spacing w:val="0"/>
          <w:sz w:val="24"/>
          <w:szCs w:val="24"/>
          <w:highlight w:val="none"/>
          <w:shd w:val="clear" w:fill="FFFFFF"/>
        </w:rPr>
        <w:t>内部控制政策与制度</w:t>
      </w:r>
      <w:r>
        <w:rPr>
          <w:rFonts w:hint="eastAsia" w:ascii="Arial" w:hAnsi="Arial" w:eastAsia="宋体" w:cs="Arial"/>
          <w:i w:val="0"/>
          <w:iCs w:val="0"/>
          <w:caps w:val="0"/>
          <w:color w:val="auto"/>
          <w:spacing w:val="0"/>
          <w:sz w:val="24"/>
          <w:szCs w:val="24"/>
          <w:highlight w:val="none"/>
          <w:shd w:val="clear" w:fill="FFFFFF"/>
          <w:lang w:eastAsia="zh-CN"/>
        </w:rPr>
        <w:t>、</w:t>
      </w:r>
      <w:r>
        <w:rPr>
          <w:rFonts w:ascii="Arial" w:hAnsi="Arial" w:eastAsia="Arial" w:cs="Arial"/>
          <w:i w:val="0"/>
          <w:iCs w:val="0"/>
          <w:caps w:val="0"/>
          <w:color w:val="auto"/>
          <w:spacing w:val="0"/>
          <w:sz w:val="24"/>
          <w:szCs w:val="24"/>
          <w:highlight w:val="none"/>
          <w:shd w:val="clear" w:fill="FFFFFF"/>
        </w:rPr>
        <w:t>风险评估与管理程序</w:t>
      </w:r>
      <w:r>
        <w:rPr>
          <w:rFonts w:hint="eastAsia" w:ascii="Arial" w:hAnsi="Arial" w:eastAsia="宋体" w:cs="Arial"/>
          <w:i w:val="0"/>
          <w:iCs w:val="0"/>
          <w:caps w:val="0"/>
          <w:color w:val="auto"/>
          <w:spacing w:val="0"/>
          <w:sz w:val="24"/>
          <w:szCs w:val="24"/>
          <w:highlight w:val="none"/>
          <w:shd w:val="clear" w:fill="FFFFFF"/>
          <w:lang w:eastAsia="zh-CN"/>
        </w:rPr>
        <w:t>、</w:t>
      </w:r>
      <w:r>
        <w:rPr>
          <w:rFonts w:ascii="Arial" w:hAnsi="Arial" w:eastAsia="Arial" w:cs="Arial"/>
          <w:i w:val="0"/>
          <w:iCs w:val="0"/>
          <w:caps w:val="0"/>
          <w:color w:val="auto"/>
          <w:spacing w:val="0"/>
          <w:sz w:val="24"/>
          <w:szCs w:val="24"/>
          <w:highlight w:val="none"/>
          <w:shd w:val="clear" w:fill="FFFFFF"/>
        </w:rPr>
        <w:t>控制活动与操作规程</w:t>
      </w:r>
      <w:r>
        <w:rPr>
          <w:rFonts w:hint="eastAsia" w:ascii="Arial" w:hAnsi="Arial" w:eastAsia="宋体" w:cs="Arial"/>
          <w:i w:val="0"/>
          <w:iCs w:val="0"/>
          <w:caps w:val="0"/>
          <w:color w:val="auto"/>
          <w:spacing w:val="0"/>
          <w:sz w:val="24"/>
          <w:szCs w:val="24"/>
          <w:highlight w:val="none"/>
          <w:shd w:val="clear" w:fill="FFFFFF"/>
          <w:lang w:eastAsia="zh-CN"/>
        </w:rPr>
        <w:t>、</w:t>
      </w:r>
      <w:r>
        <w:rPr>
          <w:rFonts w:ascii="Arial" w:hAnsi="Arial" w:eastAsia="Arial" w:cs="Arial"/>
          <w:i w:val="0"/>
          <w:iCs w:val="0"/>
          <w:caps w:val="0"/>
          <w:color w:val="auto"/>
          <w:spacing w:val="0"/>
          <w:sz w:val="24"/>
          <w:szCs w:val="24"/>
          <w:highlight w:val="none"/>
          <w:shd w:val="clear" w:fill="FFFFFF"/>
        </w:rPr>
        <w:t>信息与沟通机制</w:t>
      </w:r>
      <w:r>
        <w:rPr>
          <w:rFonts w:hint="eastAsia" w:ascii="Arial" w:hAnsi="Arial" w:eastAsia="宋体" w:cs="Arial"/>
          <w:i w:val="0"/>
          <w:iCs w:val="0"/>
          <w:caps w:val="0"/>
          <w:color w:val="auto"/>
          <w:spacing w:val="0"/>
          <w:sz w:val="24"/>
          <w:szCs w:val="24"/>
          <w:highlight w:val="none"/>
          <w:shd w:val="clear" w:fill="FFFFFF"/>
          <w:lang w:val="en-US" w:eastAsia="zh-CN"/>
        </w:rPr>
        <w:t>及</w:t>
      </w:r>
      <w:r>
        <w:rPr>
          <w:rFonts w:ascii="Arial" w:hAnsi="Arial" w:eastAsia="Arial" w:cs="Arial"/>
          <w:i w:val="0"/>
          <w:iCs w:val="0"/>
          <w:caps w:val="0"/>
          <w:color w:val="auto"/>
          <w:spacing w:val="0"/>
          <w:sz w:val="24"/>
          <w:szCs w:val="24"/>
          <w:highlight w:val="none"/>
          <w:shd w:val="clear" w:fill="FFFFFF"/>
        </w:rPr>
        <w:t>‌</w:t>
      </w:r>
      <w:r>
        <w:rPr>
          <w:rFonts w:hint="default" w:ascii="Arial" w:hAnsi="Arial" w:eastAsia="Arial" w:cs="Arial"/>
          <w:i w:val="0"/>
          <w:iCs w:val="0"/>
          <w:caps w:val="0"/>
          <w:color w:val="auto"/>
          <w:spacing w:val="0"/>
          <w:sz w:val="24"/>
          <w:szCs w:val="24"/>
          <w:highlight w:val="none"/>
          <w:shd w:val="clear" w:fill="FFFFFF"/>
        </w:rPr>
        <w:t>监督评价与缺陷整改</w:t>
      </w:r>
      <w:r>
        <w:rPr>
          <w:rFonts w:hint="eastAsia" w:ascii="Arial" w:hAnsi="Arial" w:eastAsia="宋体" w:cs="Arial"/>
          <w:i w:val="0"/>
          <w:iCs w:val="0"/>
          <w:caps w:val="0"/>
          <w:color w:val="auto"/>
          <w:spacing w:val="0"/>
          <w:sz w:val="24"/>
          <w:szCs w:val="24"/>
          <w:highlight w:val="none"/>
          <w:shd w:val="clear" w:fill="FFFFFF"/>
          <w:lang w:eastAsia="zh-CN"/>
        </w:rPr>
        <w:t>。</w:t>
      </w:r>
    </w:p>
    <w:p w14:paraId="1D1024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508" w:firstLineChars="200"/>
        <w:jc w:val="left"/>
        <w:textAlignment w:val="auto"/>
        <w:rPr>
          <w:rFonts w:hint="eastAsia" w:ascii="宋体" w:hAnsi="宋体" w:eastAsia="宋体" w:cs="宋体"/>
          <w:b/>
          <w:bCs/>
          <w:color w:val="auto"/>
          <w:spacing w:val="7"/>
          <w:sz w:val="24"/>
          <w:szCs w:val="22"/>
          <w:highlight w:val="none"/>
          <w:lang w:val="en-US" w:eastAsia="zh-CN" w:bidi="ar-SA"/>
        </w:rPr>
      </w:pPr>
      <w:r>
        <w:rPr>
          <w:rFonts w:hint="eastAsia" w:ascii="宋体" w:hAnsi="宋体" w:cs="宋体"/>
          <w:b w:val="0"/>
          <w:color w:val="auto"/>
          <w:spacing w:val="7"/>
          <w:sz w:val="24"/>
          <w:szCs w:val="22"/>
          <w:highlight w:val="none"/>
          <w:lang w:val="en-US" w:eastAsia="zh-CN" w:bidi="ar-SA"/>
        </w:rPr>
        <w:t>2</w:t>
      </w:r>
      <w:r>
        <w:rPr>
          <w:rFonts w:hint="eastAsia" w:ascii="宋体" w:hAnsi="宋体" w:eastAsia="宋体" w:cs="宋体"/>
          <w:b w:val="0"/>
          <w:color w:val="auto"/>
          <w:spacing w:val="7"/>
          <w:sz w:val="24"/>
          <w:szCs w:val="22"/>
          <w:highlight w:val="none"/>
          <w:lang w:val="en-US" w:eastAsia="zh-CN" w:bidi="ar-SA"/>
        </w:rPr>
        <w:t>.</w:t>
      </w:r>
      <w:r>
        <w:rPr>
          <w:rFonts w:hint="eastAsia" w:ascii="宋体" w:hAnsi="宋体" w:cs="宋体"/>
          <w:b w:val="0"/>
          <w:color w:val="auto"/>
          <w:spacing w:val="7"/>
          <w:sz w:val="24"/>
          <w:szCs w:val="22"/>
          <w:highlight w:val="none"/>
          <w:lang w:val="en-US" w:eastAsia="zh-CN" w:bidi="ar-SA"/>
        </w:rPr>
        <w:t>2</w:t>
      </w:r>
      <w:r>
        <w:rPr>
          <w:rFonts w:hint="default" w:ascii="宋体" w:hAnsi="宋体" w:eastAsia="宋体" w:cs="宋体"/>
          <w:b w:val="0"/>
          <w:color w:val="auto"/>
          <w:spacing w:val="7"/>
          <w:sz w:val="24"/>
          <w:szCs w:val="22"/>
          <w:highlight w:val="none"/>
          <w:lang w:val="en-US" w:eastAsia="zh-CN" w:bidi="ar-SA"/>
        </w:rPr>
        <w:t>人员管理方案</w:t>
      </w:r>
      <w:r>
        <w:rPr>
          <w:rFonts w:hint="eastAsia" w:ascii="宋体" w:hAnsi="宋体" w:cs="宋体"/>
          <w:b w:val="0"/>
          <w:color w:val="auto"/>
          <w:spacing w:val="7"/>
          <w:sz w:val="24"/>
          <w:szCs w:val="22"/>
          <w:highlight w:val="none"/>
          <w:lang w:val="en-US" w:eastAsia="zh-CN" w:bidi="ar-SA"/>
        </w:rPr>
        <w:t>：</w:t>
      </w:r>
      <w:r>
        <w:rPr>
          <w:rFonts w:hint="eastAsia" w:ascii="宋体" w:hAnsi="宋体" w:cs="宋体"/>
          <w:b w:val="0"/>
          <w:color w:val="auto"/>
          <w:spacing w:val="7"/>
          <w:kern w:val="0"/>
          <w:sz w:val="24"/>
          <w:szCs w:val="22"/>
          <w:highlight w:val="none"/>
          <w:lang w:val="en-US" w:eastAsia="zh-CN"/>
        </w:rPr>
        <w:t>内容至少包括</w:t>
      </w:r>
      <w:r>
        <w:rPr>
          <w:rFonts w:hint="eastAsia" w:ascii="宋体" w:hAnsi="宋体" w:eastAsia="宋体" w:cs="宋体"/>
          <w:b w:val="0"/>
          <w:color w:val="auto"/>
          <w:spacing w:val="7"/>
          <w:kern w:val="0"/>
          <w:sz w:val="24"/>
          <w:szCs w:val="22"/>
          <w:highlight w:val="none"/>
          <w:lang w:eastAsia="zh-CN"/>
        </w:rPr>
        <w:t>：业务管理、培训管理、考勤管理、考核管理</w:t>
      </w:r>
      <w:r>
        <w:rPr>
          <w:rFonts w:hint="eastAsia" w:ascii="宋体" w:hAnsi="宋体" w:eastAsia="宋体" w:cs="宋体"/>
          <w:b w:val="0"/>
          <w:color w:val="auto"/>
          <w:spacing w:val="7"/>
          <w:kern w:val="0"/>
          <w:sz w:val="24"/>
          <w:szCs w:val="22"/>
          <w:highlight w:val="none"/>
          <w:lang w:val="en-US" w:eastAsia="zh-CN"/>
        </w:rPr>
        <w:t>及</w:t>
      </w:r>
      <w:r>
        <w:rPr>
          <w:rFonts w:hint="eastAsia" w:ascii="宋体" w:hAnsi="宋体" w:eastAsia="宋体" w:cs="宋体"/>
          <w:b w:val="0"/>
          <w:color w:val="auto"/>
          <w:spacing w:val="7"/>
          <w:kern w:val="0"/>
          <w:sz w:val="24"/>
          <w:szCs w:val="22"/>
          <w:highlight w:val="none"/>
          <w:lang w:eastAsia="zh-CN"/>
        </w:rPr>
        <w:t>绩效管理。</w:t>
      </w:r>
    </w:p>
    <w:p w14:paraId="63ACE89C">
      <w:pPr>
        <w:keepNext w:val="0"/>
        <w:keepLines w:val="0"/>
        <w:pageBreakBefore w:val="0"/>
        <w:widowControl w:val="0"/>
        <w:numPr>
          <w:ilvl w:val="0"/>
          <w:numId w:val="0"/>
        </w:numPr>
        <w:wordWrap/>
        <w:overflowPunct/>
        <w:topLinePunct w:val="0"/>
        <w:bidi w:val="0"/>
        <w:spacing w:line="360" w:lineRule="auto"/>
        <w:ind w:right="0" w:rightChars="0" w:firstLine="508" w:firstLineChars="200"/>
        <w:jc w:val="left"/>
        <w:outlineLvl w:val="9"/>
        <w:rPr>
          <w:rFonts w:hint="default" w:ascii="宋体" w:hAnsi="宋体" w:eastAsia="宋体" w:cs="宋体"/>
          <w:b w:val="0"/>
          <w:color w:val="auto"/>
          <w:spacing w:val="7"/>
          <w:sz w:val="24"/>
          <w:szCs w:val="22"/>
          <w:highlight w:val="none"/>
          <w:lang w:val="en-US" w:eastAsia="zh-CN" w:bidi="ar-SA"/>
        </w:rPr>
      </w:pPr>
      <w:r>
        <w:rPr>
          <w:rFonts w:hint="eastAsia" w:ascii="宋体" w:hAnsi="宋体" w:cs="宋体"/>
          <w:b w:val="0"/>
          <w:color w:val="auto"/>
          <w:spacing w:val="7"/>
          <w:sz w:val="24"/>
          <w:szCs w:val="22"/>
          <w:highlight w:val="none"/>
          <w:lang w:val="en-US" w:eastAsia="zh-CN" w:bidi="ar-SA"/>
        </w:rPr>
        <w:t>2</w:t>
      </w:r>
      <w:r>
        <w:rPr>
          <w:rFonts w:hint="eastAsia" w:ascii="宋体" w:hAnsi="宋体" w:eastAsia="宋体" w:cs="宋体"/>
          <w:b w:val="0"/>
          <w:color w:val="auto"/>
          <w:spacing w:val="7"/>
          <w:sz w:val="24"/>
          <w:szCs w:val="22"/>
          <w:highlight w:val="none"/>
          <w:lang w:val="en-US" w:eastAsia="zh-CN" w:bidi="ar-SA"/>
        </w:rPr>
        <w:t>.</w:t>
      </w:r>
      <w:r>
        <w:rPr>
          <w:rFonts w:hint="eastAsia" w:ascii="宋体" w:hAnsi="宋体" w:cs="宋体"/>
          <w:b w:val="0"/>
          <w:color w:val="auto"/>
          <w:spacing w:val="7"/>
          <w:sz w:val="24"/>
          <w:szCs w:val="22"/>
          <w:highlight w:val="none"/>
          <w:lang w:val="en-US" w:eastAsia="zh-CN" w:bidi="ar-SA"/>
        </w:rPr>
        <w:t>3</w:t>
      </w:r>
      <w:r>
        <w:rPr>
          <w:rFonts w:hint="default" w:ascii="宋体" w:hAnsi="宋体" w:eastAsia="宋体" w:cs="宋体"/>
          <w:b w:val="0"/>
          <w:color w:val="auto"/>
          <w:spacing w:val="7"/>
          <w:sz w:val="24"/>
          <w:szCs w:val="22"/>
          <w:highlight w:val="none"/>
          <w:lang w:val="en-US" w:eastAsia="zh-CN" w:bidi="ar-SA"/>
        </w:rPr>
        <w:t>质控措施</w:t>
      </w:r>
      <w:r>
        <w:rPr>
          <w:rFonts w:hint="eastAsia" w:ascii="宋体" w:hAnsi="宋体" w:cs="宋体"/>
          <w:b w:val="0"/>
          <w:color w:val="auto"/>
          <w:spacing w:val="7"/>
          <w:sz w:val="24"/>
          <w:szCs w:val="22"/>
          <w:highlight w:val="none"/>
          <w:lang w:val="en-US" w:eastAsia="zh-CN" w:bidi="ar-SA"/>
        </w:rPr>
        <w:t>：</w:t>
      </w:r>
      <w:r>
        <w:rPr>
          <w:rFonts w:hint="eastAsia" w:ascii="宋体" w:hAnsi="宋体" w:eastAsia="宋体" w:cs="宋体"/>
          <w:b w:val="0"/>
          <w:bCs w:val="0"/>
          <w:color w:val="auto"/>
          <w:kern w:val="0"/>
          <w:sz w:val="24"/>
          <w:szCs w:val="24"/>
          <w:highlight w:val="none"/>
          <w:lang w:val="en-US" w:eastAsia="zh-CN" w:bidi="ar"/>
        </w:rPr>
        <w:t>包括但不限于</w:t>
      </w:r>
      <w:r>
        <w:rPr>
          <w:rFonts w:hint="eastAsia" w:ascii="宋体" w:hAnsi="宋体" w:eastAsia="宋体" w:cs="宋体"/>
          <w:b w:val="0"/>
          <w:bCs w:val="0"/>
          <w:color w:val="auto"/>
          <w:kern w:val="0"/>
          <w:sz w:val="24"/>
          <w:szCs w:val="24"/>
          <w:highlight w:val="none"/>
          <w:lang w:val="en-US" w:eastAsia="zh-CN"/>
        </w:rPr>
        <w:t>质量目标的确定、实现质量目标的管理措施、质量控制流程等。</w:t>
      </w:r>
    </w:p>
    <w:p w14:paraId="070977AD">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508" w:firstLineChars="200"/>
        <w:jc w:val="left"/>
        <w:textAlignment w:val="auto"/>
        <w:rPr>
          <w:rFonts w:hint="default" w:ascii="宋体" w:hAnsi="宋体" w:eastAsia="宋体" w:cs="宋体"/>
          <w:b w:val="0"/>
          <w:bCs w:val="0"/>
          <w:color w:val="auto"/>
          <w:kern w:val="0"/>
          <w:sz w:val="24"/>
          <w:szCs w:val="24"/>
          <w:highlight w:val="none"/>
          <w:lang w:val="en-US" w:eastAsia="zh-CN" w:bidi="ar"/>
        </w:rPr>
      </w:pPr>
      <w:r>
        <w:rPr>
          <w:rFonts w:hint="default" w:ascii="宋体" w:hAnsi="宋体" w:eastAsia="宋体" w:cs="宋体"/>
          <w:b w:val="0"/>
          <w:color w:val="auto"/>
          <w:spacing w:val="7"/>
          <w:sz w:val="24"/>
          <w:szCs w:val="22"/>
          <w:highlight w:val="none"/>
          <w:lang w:val="en-US" w:eastAsia="zh-CN" w:bidi="ar-SA"/>
        </w:rPr>
        <w:t>项目管理制度</w:t>
      </w:r>
    </w:p>
    <w:p w14:paraId="4355E5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b w:val="0"/>
          <w:bCs w:val="0"/>
          <w:color w:val="auto"/>
          <w:sz w:val="24"/>
          <w:szCs w:val="24"/>
          <w:highlight w:val="none"/>
          <w:lang w:val="en-US" w:eastAsia="zh-CN"/>
        </w:rPr>
        <w:t>供应商</w:t>
      </w:r>
      <w:r>
        <w:rPr>
          <w:rFonts w:hint="eastAsia" w:ascii="宋体" w:hAnsi="宋体"/>
          <w:b w:val="0"/>
          <w:bCs w:val="0"/>
          <w:color w:val="auto"/>
          <w:sz w:val="24"/>
          <w:szCs w:val="24"/>
          <w:highlight w:val="none"/>
          <w:lang w:val="en-US" w:eastAsia="zh-CN"/>
        </w:rPr>
        <w:t>需要针对本项目提供</w:t>
      </w:r>
      <w:r>
        <w:rPr>
          <w:rFonts w:hint="default" w:ascii="宋体" w:hAnsi="宋体" w:eastAsia="宋体" w:cs="宋体"/>
          <w:b w:val="0"/>
          <w:color w:val="auto"/>
          <w:spacing w:val="7"/>
          <w:sz w:val="24"/>
          <w:szCs w:val="22"/>
          <w:highlight w:val="none"/>
          <w:lang w:val="en-US" w:eastAsia="zh-CN" w:bidi="ar-SA"/>
        </w:rPr>
        <w:t>项目管理制度</w:t>
      </w:r>
      <w:r>
        <w:rPr>
          <w:rFonts w:hint="eastAsia" w:ascii="宋体" w:hAnsi="宋体" w:eastAsia="宋体" w:cs="宋体"/>
          <w:b w:val="0"/>
          <w:color w:val="auto"/>
          <w:spacing w:val="7"/>
          <w:sz w:val="24"/>
          <w:szCs w:val="22"/>
          <w:highlight w:val="none"/>
          <w:lang w:val="en-US" w:eastAsia="zh-CN" w:bidi="ar-SA"/>
        </w:rPr>
        <w:t>，</w:t>
      </w:r>
      <w:r>
        <w:rPr>
          <w:rFonts w:hint="eastAsia" w:ascii="宋体" w:hAnsi="宋体" w:cs="宋体"/>
          <w:b w:val="0"/>
          <w:color w:val="auto"/>
          <w:spacing w:val="7"/>
          <w:kern w:val="0"/>
          <w:sz w:val="24"/>
          <w:szCs w:val="22"/>
          <w:highlight w:val="none"/>
          <w:lang w:val="en-US" w:eastAsia="zh-CN"/>
        </w:rPr>
        <w:t>内容至少包括</w:t>
      </w:r>
      <w:r>
        <w:rPr>
          <w:rFonts w:hint="eastAsia" w:ascii="宋体" w:hAnsi="宋体" w:eastAsia="宋体" w:cs="宋体"/>
          <w:b w:val="0"/>
          <w:color w:val="auto"/>
          <w:spacing w:val="7"/>
          <w:kern w:val="0"/>
          <w:sz w:val="24"/>
          <w:szCs w:val="22"/>
          <w:highlight w:val="none"/>
          <w:lang w:eastAsia="zh-CN"/>
        </w:rPr>
        <w:t>：</w:t>
      </w:r>
      <w:r>
        <w:rPr>
          <w:rFonts w:hint="default" w:ascii="宋体" w:hAnsi="宋体" w:eastAsia="宋体" w:cs="宋体"/>
          <w:b w:val="0"/>
          <w:color w:val="auto"/>
          <w:spacing w:val="7"/>
          <w:sz w:val="24"/>
          <w:szCs w:val="22"/>
          <w:highlight w:val="none"/>
          <w:lang w:val="en-US" w:eastAsia="zh-CN" w:bidi="ar-SA"/>
        </w:rPr>
        <w:t>①现场踏勘制度②专家咨询制度③文档管理制度④改进评估过程与时效方面的具体措施方案等</w:t>
      </w:r>
      <w:r>
        <w:rPr>
          <w:rFonts w:hint="eastAsia" w:ascii="宋体" w:hAnsi="宋体" w:eastAsia="宋体" w:cs="宋体"/>
          <w:b w:val="0"/>
          <w:color w:val="auto"/>
          <w:spacing w:val="7"/>
          <w:sz w:val="24"/>
          <w:szCs w:val="22"/>
          <w:highlight w:val="none"/>
          <w:lang w:val="en-US" w:eastAsia="zh-CN" w:bidi="ar-SA"/>
        </w:rPr>
        <w:t>。</w:t>
      </w:r>
    </w:p>
    <w:p w14:paraId="19D04E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rPr>
          <w:rFonts w:hint="eastAsia" w:ascii="宋体" w:hAnsi="宋体" w:cs="宋体"/>
          <w:b w:val="0"/>
          <w:bCs w:val="0"/>
          <w:color w:val="auto"/>
          <w:kern w:val="0"/>
          <w:sz w:val="24"/>
          <w:szCs w:val="24"/>
          <w:highlight w:val="none"/>
          <w:lang w:val="en-US" w:eastAsia="zh-CN" w:bidi="ar"/>
        </w:rPr>
      </w:pPr>
      <w:r>
        <w:rPr>
          <w:rFonts w:hint="eastAsia" w:ascii="宋体" w:hAnsi="宋体" w:cs="宋体"/>
          <w:b w:val="0"/>
          <w:bCs w:val="0"/>
          <w:color w:val="auto"/>
          <w:kern w:val="0"/>
          <w:sz w:val="24"/>
          <w:szCs w:val="24"/>
          <w:highlight w:val="none"/>
          <w:lang w:val="en-US" w:eastAsia="zh-CN" w:bidi="ar"/>
        </w:rPr>
        <w:t>3.1</w:t>
      </w:r>
      <w:r>
        <w:rPr>
          <w:rFonts w:hint="default" w:ascii="宋体" w:hAnsi="宋体" w:eastAsia="宋体" w:cs="宋体"/>
          <w:b w:val="0"/>
          <w:color w:val="auto"/>
          <w:spacing w:val="7"/>
          <w:sz w:val="24"/>
          <w:szCs w:val="22"/>
          <w:highlight w:val="none"/>
          <w:lang w:val="en-US" w:eastAsia="zh-CN" w:bidi="ar-SA"/>
        </w:rPr>
        <w:t>现场踏勘制度</w:t>
      </w:r>
      <w:r>
        <w:rPr>
          <w:rFonts w:hint="eastAsia" w:ascii="宋体" w:hAnsi="宋体" w:cs="宋体"/>
          <w:b w:val="0"/>
          <w:color w:val="auto"/>
          <w:spacing w:val="7"/>
          <w:sz w:val="24"/>
          <w:szCs w:val="22"/>
          <w:highlight w:val="none"/>
          <w:lang w:val="en-US" w:eastAsia="zh-CN" w:bidi="ar-SA"/>
        </w:rPr>
        <w:t>：收集项目相关资料:包括但不限于招投标文件、施工图纸、设计文件、工程量清单、合同条款等。</w:t>
      </w:r>
    </w:p>
    <w:p w14:paraId="44AAC4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rPr>
          <w:rFonts w:hint="eastAsia" w:ascii="宋体" w:hAnsi="宋体" w:cs="宋体"/>
          <w:b w:val="0"/>
          <w:bCs/>
          <w:color w:val="auto"/>
          <w:kern w:val="0"/>
          <w:sz w:val="24"/>
          <w:szCs w:val="24"/>
          <w:highlight w:val="none"/>
          <w:lang w:val="en-US" w:eastAsia="zh-CN" w:bidi="ar"/>
        </w:rPr>
      </w:pPr>
      <w:r>
        <w:rPr>
          <w:rFonts w:hint="eastAsia" w:ascii="宋体" w:hAnsi="宋体" w:cs="宋体"/>
          <w:b w:val="0"/>
          <w:bCs w:val="0"/>
          <w:color w:val="auto"/>
          <w:kern w:val="0"/>
          <w:sz w:val="24"/>
          <w:szCs w:val="24"/>
          <w:highlight w:val="none"/>
          <w:lang w:val="en-US" w:eastAsia="zh-CN" w:bidi="ar"/>
        </w:rPr>
        <w:t>3.2</w:t>
      </w:r>
      <w:r>
        <w:rPr>
          <w:rFonts w:hint="default" w:ascii="宋体" w:hAnsi="宋体" w:eastAsia="宋体" w:cs="宋体"/>
          <w:b w:val="0"/>
          <w:color w:val="auto"/>
          <w:spacing w:val="7"/>
          <w:sz w:val="24"/>
          <w:szCs w:val="22"/>
          <w:highlight w:val="none"/>
          <w:lang w:val="en-US" w:eastAsia="zh-CN" w:bidi="ar-SA"/>
        </w:rPr>
        <w:t>专家咨询制度</w:t>
      </w:r>
      <w:r>
        <w:rPr>
          <w:rFonts w:hint="eastAsia" w:ascii="宋体" w:hAnsi="宋体" w:cs="宋体"/>
          <w:b w:val="0"/>
          <w:color w:val="auto"/>
          <w:spacing w:val="7"/>
          <w:sz w:val="24"/>
          <w:szCs w:val="22"/>
          <w:highlight w:val="none"/>
          <w:lang w:val="en-US" w:eastAsia="zh-CN" w:bidi="ar-SA"/>
        </w:rPr>
        <w:t>：</w:t>
      </w:r>
      <w:r>
        <w:rPr>
          <w:rFonts w:hint="eastAsia" w:ascii="宋体" w:hAnsi="宋体" w:cs="宋体"/>
          <w:b w:val="0"/>
          <w:color w:val="auto"/>
          <w:spacing w:val="7"/>
          <w:kern w:val="0"/>
          <w:sz w:val="24"/>
          <w:szCs w:val="22"/>
          <w:highlight w:val="none"/>
          <w:lang w:val="en-US" w:eastAsia="zh-CN"/>
        </w:rPr>
        <w:t>内容至少包括</w:t>
      </w:r>
      <w:r>
        <w:rPr>
          <w:rFonts w:hint="eastAsia" w:ascii="宋体" w:hAnsi="宋体" w:eastAsia="宋体" w:cs="宋体"/>
          <w:b w:val="0"/>
          <w:color w:val="auto"/>
          <w:spacing w:val="7"/>
          <w:kern w:val="0"/>
          <w:sz w:val="24"/>
          <w:szCs w:val="22"/>
          <w:highlight w:val="none"/>
          <w:lang w:eastAsia="zh-CN"/>
        </w:rPr>
        <w:t>：</w:t>
      </w:r>
      <w:r>
        <w:rPr>
          <w:rStyle w:val="17"/>
          <w:rFonts w:ascii="Arial" w:hAnsi="Arial" w:eastAsia="Arial" w:cs="Arial"/>
          <w:b w:val="0"/>
          <w:bCs/>
          <w:i w:val="0"/>
          <w:iCs w:val="0"/>
          <w:caps w:val="0"/>
          <w:color w:val="auto"/>
          <w:spacing w:val="0"/>
          <w:sz w:val="24"/>
          <w:szCs w:val="24"/>
          <w:highlight w:val="none"/>
          <w:shd w:val="clear" w:fill="FFFFFF"/>
        </w:rPr>
        <w:t>适用范围与决策事项</w:t>
      </w:r>
      <w:r>
        <w:rPr>
          <w:rStyle w:val="17"/>
          <w:rFonts w:hint="eastAsia" w:ascii="Arial" w:hAnsi="Arial" w:eastAsia="宋体" w:cs="Arial"/>
          <w:b w:val="0"/>
          <w:bCs/>
          <w:i w:val="0"/>
          <w:iCs w:val="0"/>
          <w:caps w:val="0"/>
          <w:color w:val="auto"/>
          <w:spacing w:val="0"/>
          <w:sz w:val="24"/>
          <w:szCs w:val="24"/>
          <w:highlight w:val="none"/>
          <w:shd w:val="clear" w:fill="FFFFFF"/>
          <w:lang w:eastAsia="zh-CN"/>
        </w:rPr>
        <w:t>、</w:t>
      </w:r>
      <w:r>
        <w:rPr>
          <w:rStyle w:val="17"/>
          <w:rFonts w:ascii="Arial" w:hAnsi="Arial" w:eastAsia="Arial" w:cs="Arial"/>
          <w:b w:val="0"/>
          <w:bCs/>
          <w:i w:val="0"/>
          <w:iCs w:val="0"/>
          <w:caps w:val="0"/>
          <w:color w:val="auto"/>
          <w:spacing w:val="0"/>
          <w:sz w:val="24"/>
          <w:szCs w:val="24"/>
          <w:highlight w:val="none"/>
          <w:shd w:val="clear" w:fill="FFFFFF"/>
        </w:rPr>
        <w:t>组织架构与职责</w:t>
      </w:r>
      <w:r>
        <w:rPr>
          <w:rStyle w:val="17"/>
          <w:rFonts w:hint="eastAsia" w:ascii="Arial" w:hAnsi="Arial" w:eastAsia="宋体" w:cs="Arial"/>
          <w:b w:val="0"/>
          <w:bCs/>
          <w:i w:val="0"/>
          <w:iCs w:val="0"/>
          <w:caps w:val="0"/>
          <w:color w:val="auto"/>
          <w:spacing w:val="0"/>
          <w:sz w:val="24"/>
          <w:szCs w:val="24"/>
          <w:highlight w:val="none"/>
          <w:shd w:val="clear" w:fill="FFFFFF"/>
          <w:lang w:eastAsia="zh-CN"/>
        </w:rPr>
        <w:t>、</w:t>
      </w:r>
      <w:r>
        <w:rPr>
          <w:rStyle w:val="17"/>
          <w:rFonts w:ascii="Arial" w:hAnsi="Arial" w:eastAsia="Arial" w:cs="Arial"/>
          <w:b w:val="0"/>
          <w:bCs/>
          <w:i w:val="0"/>
          <w:iCs w:val="0"/>
          <w:caps w:val="0"/>
          <w:color w:val="auto"/>
          <w:spacing w:val="0"/>
          <w:sz w:val="24"/>
          <w:szCs w:val="24"/>
          <w:highlight w:val="none"/>
          <w:shd w:val="clear" w:fill="FFFFFF"/>
        </w:rPr>
        <w:t>咨询程序与方式</w:t>
      </w:r>
      <w:r>
        <w:rPr>
          <w:rStyle w:val="17"/>
          <w:rFonts w:hint="eastAsia" w:ascii="Arial" w:hAnsi="Arial" w:eastAsia="宋体" w:cs="Arial"/>
          <w:b w:val="0"/>
          <w:bCs/>
          <w:i w:val="0"/>
          <w:iCs w:val="0"/>
          <w:caps w:val="0"/>
          <w:color w:val="auto"/>
          <w:spacing w:val="0"/>
          <w:sz w:val="24"/>
          <w:szCs w:val="24"/>
          <w:highlight w:val="none"/>
          <w:shd w:val="clear" w:fill="FFFFFF"/>
          <w:lang w:eastAsia="zh-CN"/>
        </w:rPr>
        <w:t>、</w:t>
      </w:r>
      <w:r>
        <w:rPr>
          <w:rStyle w:val="17"/>
          <w:rFonts w:ascii="Arial" w:hAnsi="Arial" w:eastAsia="Arial" w:cs="Arial"/>
          <w:b w:val="0"/>
          <w:bCs/>
          <w:i w:val="0"/>
          <w:iCs w:val="0"/>
          <w:caps w:val="0"/>
          <w:color w:val="auto"/>
          <w:spacing w:val="0"/>
          <w:sz w:val="24"/>
          <w:szCs w:val="24"/>
          <w:highlight w:val="none"/>
          <w:shd w:val="clear" w:fill="FFFFFF"/>
        </w:rPr>
        <w:t>专家遴选与管理</w:t>
      </w:r>
      <w:r>
        <w:rPr>
          <w:rStyle w:val="17"/>
          <w:rFonts w:hint="eastAsia" w:ascii="Arial" w:hAnsi="Arial" w:eastAsia="宋体" w:cs="Arial"/>
          <w:b w:val="0"/>
          <w:bCs/>
          <w:i w:val="0"/>
          <w:iCs w:val="0"/>
          <w:caps w:val="0"/>
          <w:color w:val="auto"/>
          <w:spacing w:val="0"/>
          <w:sz w:val="24"/>
          <w:szCs w:val="24"/>
          <w:highlight w:val="none"/>
          <w:shd w:val="clear" w:fill="FFFFFF"/>
          <w:lang w:val="en-US" w:eastAsia="zh-CN"/>
        </w:rPr>
        <w:t>及</w:t>
      </w:r>
      <w:r>
        <w:rPr>
          <w:rStyle w:val="17"/>
          <w:rFonts w:ascii="Arial" w:hAnsi="Arial" w:eastAsia="Arial" w:cs="Arial"/>
          <w:b w:val="0"/>
          <w:bCs/>
          <w:i w:val="0"/>
          <w:iCs w:val="0"/>
          <w:caps w:val="0"/>
          <w:color w:val="auto"/>
          <w:spacing w:val="0"/>
          <w:sz w:val="24"/>
          <w:szCs w:val="24"/>
          <w:highlight w:val="none"/>
          <w:shd w:val="clear" w:fill="FFFFFF"/>
        </w:rPr>
        <w:t>反馈与保障机制</w:t>
      </w:r>
      <w:r>
        <w:rPr>
          <w:rStyle w:val="17"/>
          <w:rFonts w:hint="eastAsia" w:ascii="Arial" w:hAnsi="Arial" w:eastAsia="宋体" w:cs="Arial"/>
          <w:b w:val="0"/>
          <w:bCs/>
          <w:i w:val="0"/>
          <w:iCs w:val="0"/>
          <w:caps w:val="0"/>
          <w:color w:val="auto"/>
          <w:spacing w:val="0"/>
          <w:sz w:val="24"/>
          <w:szCs w:val="24"/>
          <w:highlight w:val="none"/>
          <w:shd w:val="clear" w:fill="FFFFFF"/>
          <w:lang w:eastAsia="zh-CN"/>
        </w:rPr>
        <w:t>。</w:t>
      </w:r>
      <w:r>
        <w:rPr>
          <w:rFonts w:hint="default" w:ascii="Arial" w:hAnsi="Arial" w:eastAsia="Arial" w:cs="Arial"/>
          <w:b w:val="0"/>
          <w:bCs/>
          <w:i w:val="0"/>
          <w:iCs w:val="0"/>
          <w:caps w:val="0"/>
          <w:color w:val="auto"/>
          <w:spacing w:val="0"/>
          <w:sz w:val="24"/>
          <w:szCs w:val="24"/>
          <w:highlight w:val="none"/>
          <w:shd w:val="clear" w:fill="FFFFFF"/>
        </w:rPr>
        <w:t>‌‌</w:t>
      </w:r>
    </w:p>
    <w:p w14:paraId="786BA4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rPr>
          <w:rFonts w:hint="eastAsia" w:ascii="宋体" w:hAnsi="宋体" w:cs="宋体"/>
          <w:b w:val="0"/>
          <w:bCs/>
          <w:color w:val="auto"/>
          <w:kern w:val="0"/>
          <w:sz w:val="24"/>
          <w:szCs w:val="24"/>
          <w:highlight w:val="none"/>
          <w:lang w:val="en-US" w:eastAsia="zh-CN" w:bidi="ar"/>
        </w:rPr>
      </w:pPr>
      <w:r>
        <w:rPr>
          <w:rFonts w:hint="eastAsia" w:ascii="宋体" w:hAnsi="宋体" w:cs="宋体"/>
          <w:b w:val="0"/>
          <w:bCs/>
          <w:color w:val="auto"/>
          <w:kern w:val="0"/>
          <w:sz w:val="24"/>
          <w:szCs w:val="24"/>
          <w:highlight w:val="none"/>
          <w:lang w:val="en-US" w:eastAsia="zh-CN" w:bidi="ar"/>
        </w:rPr>
        <w:t>3.3</w:t>
      </w:r>
      <w:r>
        <w:rPr>
          <w:rFonts w:hint="default" w:ascii="宋体" w:hAnsi="宋体" w:eastAsia="宋体" w:cs="宋体"/>
          <w:b w:val="0"/>
          <w:bCs/>
          <w:color w:val="auto"/>
          <w:spacing w:val="7"/>
          <w:sz w:val="24"/>
          <w:szCs w:val="22"/>
          <w:highlight w:val="none"/>
          <w:lang w:val="en-US" w:eastAsia="zh-CN" w:bidi="ar-SA"/>
        </w:rPr>
        <w:t>文档管理制度</w:t>
      </w:r>
      <w:r>
        <w:rPr>
          <w:rFonts w:hint="eastAsia" w:ascii="宋体" w:hAnsi="宋体" w:cs="宋体"/>
          <w:b w:val="0"/>
          <w:bCs/>
          <w:color w:val="auto"/>
          <w:spacing w:val="7"/>
          <w:sz w:val="24"/>
          <w:szCs w:val="22"/>
          <w:highlight w:val="none"/>
          <w:lang w:val="en-US" w:eastAsia="zh-CN" w:bidi="ar-SA"/>
        </w:rPr>
        <w:t>：包括文件的创建、分类、存储、检索、保密、归档以及废弃的规范化流程。</w:t>
      </w:r>
    </w:p>
    <w:p w14:paraId="2696CF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rPr>
          <w:rFonts w:hint="eastAsia" w:ascii="宋体" w:hAnsi="宋体" w:cs="宋体"/>
          <w:b/>
          <w:color w:val="auto"/>
          <w:kern w:val="2"/>
          <w:sz w:val="24"/>
          <w:szCs w:val="24"/>
          <w:highlight w:val="none"/>
          <w:lang w:val="en-US" w:eastAsia="zh-CN"/>
        </w:rPr>
      </w:pPr>
      <w:r>
        <w:rPr>
          <w:rFonts w:hint="eastAsia" w:ascii="宋体" w:hAnsi="宋体" w:cs="宋体"/>
          <w:b w:val="0"/>
          <w:bCs/>
          <w:color w:val="auto"/>
          <w:kern w:val="0"/>
          <w:sz w:val="24"/>
          <w:szCs w:val="24"/>
          <w:highlight w:val="none"/>
          <w:lang w:val="en-US" w:eastAsia="zh-CN" w:bidi="ar"/>
        </w:rPr>
        <w:t>3.4</w:t>
      </w:r>
      <w:r>
        <w:rPr>
          <w:rFonts w:hint="default" w:ascii="宋体" w:hAnsi="宋体" w:eastAsia="宋体" w:cs="宋体"/>
          <w:b w:val="0"/>
          <w:bCs/>
          <w:color w:val="auto"/>
          <w:spacing w:val="7"/>
          <w:sz w:val="24"/>
          <w:szCs w:val="22"/>
          <w:highlight w:val="none"/>
          <w:lang w:val="en-US" w:eastAsia="zh-CN" w:bidi="ar-SA"/>
        </w:rPr>
        <w:t>改进评估过程与时效方面的具体措施方案</w:t>
      </w:r>
      <w:r>
        <w:rPr>
          <w:rFonts w:hint="eastAsia" w:ascii="宋体" w:hAnsi="宋体" w:cs="宋体"/>
          <w:b w:val="0"/>
          <w:bCs/>
          <w:color w:val="auto"/>
          <w:spacing w:val="7"/>
          <w:sz w:val="24"/>
          <w:szCs w:val="22"/>
          <w:highlight w:val="none"/>
          <w:lang w:val="en-US" w:eastAsia="zh-CN" w:bidi="ar-SA"/>
        </w:rPr>
        <w:t>：</w:t>
      </w:r>
      <w:r>
        <w:rPr>
          <w:rFonts w:hint="eastAsia" w:ascii="宋体" w:hAnsi="宋体" w:cs="宋体"/>
          <w:b w:val="0"/>
          <w:bCs/>
          <w:color w:val="auto"/>
          <w:spacing w:val="7"/>
          <w:kern w:val="0"/>
          <w:sz w:val="24"/>
          <w:szCs w:val="22"/>
          <w:highlight w:val="none"/>
          <w:lang w:val="en-US" w:eastAsia="zh-CN"/>
        </w:rPr>
        <w:t>内容至少包括</w:t>
      </w:r>
      <w:r>
        <w:rPr>
          <w:rFonts w:hint="eastAsia" w:ascii="宋体" w:hAnsi="宋体" w:eastAsia="宋体" w:cs="宋体"/>
          <w:b w:val="0"/>
          <w:bCs/>
          <w:color w:val="auto"/>
          <w:spacing w:val="7"/>
          <w:kern w:val="0"/>
          <w:sz w:val="24"/>
          <w:szCs w:val="22"/>
          <w:highlight w:val="none"/>
          <w:lang w:eastAsia="zh-CN"/>
        </w:rPr>
        <w:t>：</w:t>
      </w:r>
      <w:r>
        <w:rPr>
          <w:rStyle w:val="17"/>
          <w:rFonts w:ascii="Arial" w:hAnsi="Arial" w:eastAsia="Arial" w:cs="Arial"/>
          <w:b w:val="0"/>
          <w:bCs/>
          <w:i w:val="0"/>
          <w:iCs w:val="0"/>
          <w:caps w:val="0"/>
          <w:color w:val="auto"/>
          <w:spacing w:val="0"/>
          <w:sz w:val="24"/>
          <w:szCs w:val="24"/>
          <w:highlight w:val="none"/>
          <w:shd w:val="clear" w:fill="FFFFFF"/>
        </w:rPr>
        <w:t>优化评估流程设计</w:t>
      </w:r>
      <w:r>
        <w:rPr>
          <w:rStyle w:val="17"/>
          <w:rFonts w:hint="eastAsia" w:ascii="Arial" w:hAnsi="Arial" w:eastAsia="宋体" w:cs="Arial"/>
          <w:b w:val="0"/>
          <w:bCs/>
          <w:i w:val="0"/>
          <w:iCs w:val="0"/>
          <w:caps w:val="0"/>
          <w:color w:val="auto"/>
          <w:spacing w:val="0"/>
          <w:sz w:val="24"/>
          <w:szCs w:val="24"/>
          <w:highlight w:val="none"/>
          <w:shd w:val="clear" w:fill="FFFFFF"/>
          <w:lang w:eastAsia="zh-CN"/>
        </w:rPr>
        <w:t>、</w:t>
      </w:r>
      <w:r>
        <w:rPr>
          <w:rStyle w:val="17"/>
          <w:rFonts w:ascii="Arial" w:hAnsi="Arial" w:eastAsia="Arial" w:cs="Arial"/>
          <w:b w:val="0"/>
          <w:bCs/>
          <w:i w:val="0"/>
          <w:iCs w:val="0"/>
          <w:caps w:val="0"/>
          <w:color w:val="auto"/>
          <w:spacing w:val="0"/>
          <w:sz w:val="24"/>
          <w:szCs w:val="24"/>
          <w:highlight w:val="none"/>
          <w:shd w:val="clear" w:fill="FFFFFF"/>
        </w:rPr>
        <w:t>强化团队协作与参与度</w:t>
      </w:r>
      <w:r>
        <w:rPr>
          <w:rStyle w:val="17"/>
          <w:rFonts w:hint="eastAsia" w:ascii="Arial" w:hAnsi="Arial" w:eastAsia="宋体" w:cs="Arial"/>
          <w:b w:val="0"/>
          <w:bCs/>
          <w:i w:val="0"/>
          <w:iCs w:val="0"/>
          <w:caps w:val="0"/>
          <w:color w:val="auto"/>
          <w:spacing w:val="0"/>
          <w:sz w:val="24"/>
          <w:szCs w:val="24"/>
          <w:highlight w:val="none"/>
          <w:shd w:val="clear" w:fill="FFFFFF"/>
          <w:lang w:eastAsia="zh-CN"/>
        </w:rPr>
        <w:t>、</w:t>
      </w:r>
      <w:r>
        <w:rPr>
          <w:rStyle w:val="17"/>
          <w:rFonts w:ascii="Arial" w:hAnsi="Arial" w:eastAsia="Arial" w:cs="Arial"/>
          <w:b w:val="0"/>
          <w:bCs/>
          <w:i w:val="0"/>
          <w:iCs w:val="0"/>
          <w:caps w:val="0"/>
          <w:color w:val="auto"/>
          <w:spacing w:val="0"/>
          <w:sz w:val="24"/>
          <w:szCs w:val="24"/>
          <w:highlight w:val="none"/>
          <w:shd w:val="clear" w:fill="FFFFFF"/>
        </w:rPr>
        <w:t>应用智能化工具与系统</w:t>
      </w:r>
      <w:r>
        <w:rPr>
          <w:rStyle w:val="17"/>
          <w:rFonts w:hint="eastAsia" w:ascii="Arial" w:hAnsi="Arial" w:eastAsia="宋体" w:cs="Arial"/>
          <w:b w:val="0"/>
          <w:bCs/>
          <w:i w:val="0"/>
          <w:iCs w:val="0"/>
          <w:caps w:val="0"/>
          <w:color w:val="auto"/>
          <w:spacing w:val="0"/>
          <w:sz w:val="24"/>
          <w:szCs w:val="24"/>
          <w:highlight w:val="none"/>
          <w:shd w:val="clear" w:fill="FFFFFF"/>
          <w:lang w:eastAsia="zh-CN"/>
        </w:rPr>
        <w:t>、</w:t>
      </w:r>
      <w:r>
        <w:rPr>
          <w:rStyle w:val="17"/>
          <w:rFonts w:ascii="Arial" w:hAnsi="Arial" w:eastAsia="Arial" w:cs="Arial"/>
          <w:b w:val="0"/>
          <w:bCs/>
          <w:i w:val="0"/>
          <w:iCs w:val="0"/>
          <w:caps w:val="0"/>
          <w:color w:val="auto"/>
          <w:spacing w:val="0"/>
          <w:sz w:val="24"/>
          <w:szCs w:val="24"/>
          <w:highlight w:val="none"/>
          <w:shd w:val="clear" w:fill="FFFFFF"/>
        </w:rPr>
        <w:t>加强过程监控与透明化管理</w:t>
      </w:r>
      <w:r>
        <w:rPr>
          <w:rStyle w:val="17"/>
          <w:rFonts w:hint="eastAsia" w:ascii="Arial" w:hAnsi="Arial" w:eastAsia="宋体" w:cs="Arial"/>
          <w:b w:val="0"/>
          <w:bCs/>
          <w:i w:val="0"/>
          <w:iCs w:val="0"/>
          <w:caps w:val="0"/>
          <w:color w:val="auto"/>
          <w:spacing w:val="0"/>
          <w:sz w:val="24"/>
          <w:szCs w:val="24"/>
          <w:highlight w:val="none"/>
          <w:shd w:val="clear" w:fill="FFFFFF"/>
          <w:lang w:val="en-US" w:eastAsia="zh-CN"/>
        </w:rPr>
        <w:t>及</w:t>
      </w:r>
      <w:r>
        <w:rPr>
          <w:rFonts w:ascii="Arial" w:hAnsi="Arial" w:eastAsia="Arial" w:cs="Arial"/>
          <w:b w:val="0"/>
          <w:bCs/>
          <w:i w:val="0"/>
          <w:iCs w:val="0"/>
          <w:caps w:val="0"/>
          <w:color w:val="auto"/>
          <w:spacing w:val="0"/>
          <w:sz w:val="24"/>
          <w:szCs w:val="24"/>
          <w:highlight w:val="none"/>
          <w:shd w:val="clear" w:fill="FFFFFF"/>
        </w:rPr>
        <w:t>‌</w:t>
      </w:r>
      <w:r>
        <w:rPr>
          <w:rStyle w:val="17"/>
          <w:rFonts w:hint="default" w:ascii="Arial" w:hAnsi="Arial" w:eastAsia="Arial" w:cs="Arial"/>
          <w:b w:val="0"/>
          <w:bCs/>
          <w:i w:val="0"/>
          <w:iCs w:val="0"/>
          <w:caps w:val="0"/>
          <w:color w:val="auto"/>
          <w:spacing w:val="0"/>
          <w:sz w:val="24"/>
          <w:szCs w:val="24"/>
          <w:highlight w:val="none"/>
          <w:shd w:val="clear" w:fill="FFFFFF"/>
        </w:rPr>
        <w:t>建立反馈与持续改进机制</w:t>
      </w:r>
    </w:p>
    <w:p w14:paraId="1CB848E8">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b/>
          <w:color w:val="auto"/>
          <w:kern w:val="2"/>
          <w:sz w:val="24"/>
          <w:szCs w:val="24"/>
          <w:highlight w:val="none"/>
          <w:lang w:eastAsia="zh-CN"/>
        </w:rPr>
      </w:pPr>
      <w:r>
        <w:rPr>
          <w:rFonts w:hint="eastAsia" w:ascii="宋体" w:hAnsi="宋体" w:cs="宋体"/>
          <w:b/>
          <w:color w:val="auto"/>
          <w:kern w:val="2"/>
          <w:sz w:val="24"/>
          <w:szCs w:val="24"/>
          <w:highlight w:val="none"/>
          <w:lang w:val="en-US" w:eastAsia="zh-CN"/>
        </w:rPr>
        <w:t>七、</w:t>
      </w:r>
      <w:r>
        <w:rPr>
          <w:rFonts w:hint="eastAsia" w:ascii="宋体" w:hAnsi="宋体" w:eastAsia="宋体" w:cs="宋体"/>
          <w:b/>
          <w:color w:val="auto"/>
          <w:kern w:val="2"/>
          <w:sz w:val="24"/>
          <w:szCs w:val="24"/>
          <w:highlight w:val="none"/>
        </w:rPr>
        <w:t>付款</w:t>
      </w:r>
      <w:r>
        <w:rPr>
          <w:rFonts w:hint="eastAsia" w:ascii="宋体" w:hAnsi="宋体" w:eastAsia="宋体" w:cs="宋体"/>
          <w:b/>
          <w:color w:val="auto"/>
          <w:kern w:val="2"/>
          <w:sz w:val="24"/>
          <w:szCs w:val="24"/>
          <w:highlight w:val="none"/>
          <w:lang w:eastAsia="zh-CN"/>
        </w:rPr>
        <w:t>方式</w:t>
      </w:r>
      <w:r>
        <w:rPr>
          <w:rFonts w:hint="eastAsia" w:ascii="宋体" w:hAnsi="宋体" w:cs="宋体"/>
          <w:b/>
          <w:color w:val="auto"/>
          <w:kern w:val="2"/>
          <w:sz w:val="24"/>
          <w:szCs w:val="24"/>
          <w:highlight w:val="none"/>
          <w:lang w:eastAsia="zh-CN"/>
        </w:rPr>
        <w:t>：</w:t>
      </w:r>
    </w:p>
    <w:p w14:paraId="7D96A363">
      <w:pPr>
        <w:spacing w:line="360" w:lineRule="auto"/>
        <w:ind w:firstLine="480" w:firstLineChars="200"/>
        <w:rPr>
          <w:rFonts w:hint="default" w:ascii="宋体" w:hAnsi="宋体" w:eastAsia="宋体" w:cs="宋体"/>
          <w:b w:val="0"/>
          <w:i w:val="0"/>
          <w:iCs/>
          <w:color w:val="auto"/>
          <w:spacing w:val="7"/>
          <w:sz w:val="24"/>
          <w:szCs w:val="24"/>
          <w:highlight w:val="none"/>
          <w:u w:val="single"/>
        </w:rPr>
      </w:pPr>
      <w:r>
        <w:rPr>
          <w:rFonts w:hint="eastAsia" w:ascii="宋体" w:hAnsi="宋体" w:eastAsia="宋体" w:cs="宋体"/>
          <w:bCs/>
          <w:color w:val="auto"/>
          <w:kern w:val="0"/>
          <w:sz w:val="24"/>
          <w:szCs w:val="24"/>
          <w:highlight w:val="none"/>
          <w:lang w:val="en-US" w:eastAsia="zh-CN"/>
        </w:rPr>
        <w:t>合同签订生效后</w:t>
      </w:r>
      <w:r>
        <w:rPr>
          <w:rFonts w:hint="eastAsia" w:ascii="宋体" w:hAnsi="宋体" w:cs="宋体"/>
          <w:bCs/>
          <w:color w:val="auto"/>
          <w:kern w:val="0"/>
          <w:sz w:val="24"/>
          <w:szCs w:val="24"/>
          <w:highlight w:val="none"/>
          <w:lang w:val="en-US" w:eastAsia="zh-CN"/>
        </w:rPr>
        <w:t>2个月</w:t>
      </w:r>
      <w:r>
        <w:rPr>
          <w:rFonts w:hint="eastAsia" w:ascii="宋体" w:hAnsi="宋体" w:eastAsia="宋体" w:cs="宋体"/>
          <w:bCs/>
          <w:color w:val="auto"/>
          <w:kern w:val="0"/>
          <w:sz w:val="24"/>
          <w:szCs w:val="24"/>
          <w:highlight w:val="none"/>
          <w:lang w:val="en-US" w:eastAsia="zh-CN"/>
        </w:rPr>
        <w:t>内，甲方预付合同金额的10%</w:t>
      </w:r>
      <w:r>
        <w:rPr>
          <w:rFonts w:hint="eastAsia" w:ascii="宋体" w:hAnsi="宋体" w:cs="宋体"/>
          <w:bCs/>
          <w:color w:val="auto"/>
          <w:kern w:val="0"/>
          <w:sz w:val="24"/>
          <w:szCs w:val="24"/>
          <w:highlight w:val="none"/>
          <w:lang w:val="en-US" w:eastAsia="zh-CN"/>
        </w:rPr>
        <w:t>（乙方自愿放弃的除外）</w:t>
      </w:r>
      <w:r>
        <w:rPr>
          <w:rFonts w:hint="eastAsia" w:ascii="宋体" w:hAnsi="宋体" w:eastAsia="宋体" w:cs="宋体"/>
          <w:bCs/>
          <w:color w:val="auto"/>
          <w:kern w:val="0"/>
          <w:sz w:val="24"/>
          <w:szCs w:val="24"/>
          <w:highlight w:val="none"/>
          <w:lang w:val="en-US" w:eastAsia="zh-CN"/>
        </w:rPr>
        <w:t>，剩余费用在</w:t>
      </w:r>
      <w:r>
        <w:rPr>
          <w:rFonts w:hint="eastAsia" w:ascii="宋体" w:hAnsi="宋体" w:cs="宋体"/>
          <w:bCs/>
          <w:color w:val="auto"/>
          <w:kern w:val="0"/>
          <w:sz w:val="24"/>
          <w:szCs w:val="24"/>
          <w:highlight w:val="none"/>
          <w:lang w:val="en-US" w:eastAsia="zh-CN"/>
        </w:rPr>
        <w:t>合同截止期后乙方根据年度完成的</w:t>
      </w:r>
      <w:r>
        <w:rPr>
          <w:rFonts w:hint="eastAsia" w:ascii="Times New Roman" w:hAnsi="宋体" w:eastAsia="宋体" w:cs="宋体"/>
          <w:color w:val="auto"/>
          <w:sz w:val="24"/>
          <w:szCs w:val="24"/>
          <w:highlight w:val="none"/>
          <w:lang w:eastAsia="zh-Hans"/>
        </w:rPr>
        <w:t>承接技术审查业务(包含环评及危废经营许可证的评估，即已出具技术评估意见)数量并开具发票后，甲方一次性支付项目所有款项。</w:t>
      </w:r>
    </w:p>
    <w:p w14:paraId="2420F7A0">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6B48DDE9">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798DE1A0">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1ABEEFCD">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r>
        <w:rPr>
          <w:rFonts w:hint="eastAsia" w:ascii="宋体" w:hAnsi="宋体" w:eastAsia="宋体" w:cs="Times New Roman"/>
          <w:b/>
          <w:color w:val="auto"/>
          <w:kern w:val="0"/>
          <w:sz w:val="24"/>
          <w:szCs w:val="24"/>
          <w:highlight w:val="none"/>
          <w:lang w:val="en-US" w:eastAsia="zh-CN" w:bidi="ar-SA"/>
        </w:rPr>
        <w:t>附件</w:t>
      </w:r>
      <w:r>
        <w:rPr>
          <w:rFonts w:hint="eastAsia" w:ascii="宋体" w:hAnsi="宋体" w:cs="Times New Roman"/>
          <w:b/>
          <w:color w:val="auto"/>
          <w:kern w:val="0"/>
          <w:sz w:val="24"/>
          <w:szCs w:val="24"/>
          <w:highlight w:val="none"/>
          <w:lang w:val="en-US" w:eastAsia="zh-CN" w:bidi="ar-SA"/>
        </w:rPr>
        <w:t>1</w:t>
      </w:r>
      <w:r>
        <w:rPr>
          <w:rFonts w:hint="eastAsia" w:ascii="宋体" w:hAnsi="宋体" w:eastAsia="宋体" w:cs="Times New Roman"/>
          <w:b/>
          <w:color w:val="auto"/>
          <w:kern w:val="0"/>
          <w:sz w:val="24"/>
          <w:szCs w:val="24"/>
          <w:highlight w:val="none"/>
          <w:lang w:val="en-US" w:eastAsia="zh-CN" w:bidi="ar-SA"/>
        </w:rPr>
        <w:t>：</w:t>
      </w:r>
    </w:p>
    <w:p w14:paraId="21D3B1AA">
      <w:pPr>
        <w:widowControl/>
        <w:kinsoku w:val="0"/>
        <w:autoSpaceDE w:val="0"/>
        <w:autoSpaceDN w:val="0"/>
        <w:adjustRightInd w:val="0"/>
        <w:snapToGrid w:val="0"/>
        <w:spacing w:before="263" w:line="223" w:lineRule="auto"/>
        <w:jc w:val="center"/>
        <w:textAlignment w:val="baseline"/>
        <w:outlineLvl w:val="0"/>
        <w:rPr>
          <w:rFonts w:ascii="微软雅黑" w:hAnsi="微软雅黑" w:eastAsia="微软雅黑" w:cs="微软雅黑"/>
          <w:snapToGrid w:val="0"/>
          <w:color w:val="auto"/>
          <w:kern w:val="0"/>
          <w:sz w:val="36"/>
          <w:szCs w:val="36"/>
          <w:highlight w:val="none"/>
          <w:lang w:eastAsia="en-US"/>
        </w:rPr>
      </w:pPr>
      <w:r>
        <w:rPr>
          <w:rFonts w:ascii="微软雅黑" w:hAnsi="微软雅黑" w:eastAsia="微软雅黑" w:cs="微软雅黑"/>
          <w:snapToGrid w:val="0"/>
          <w:color w:val="auto"/>
          <w:spacing w:val="17"/>
          <w:kern w:val="0"/>
          <w:sz w:val="36"/>
          <w:szCs w:val="36"/>
          <w:highlight w:val="none"/>
          <w:lang w:eastAsia="en-US"/>
        </w:rPr>
        <w:t>政府采购履约验收通知单</w:t>
      </w:r>
    </w:p>
    <w:p w14:paraId="62BC2B97">
      <w:pPr>
        <w:widowControl/>
        <w:kinsoku w:val="0"/>
        <w:autoSpaceDE w:val="0"/>
        <w:autoSpaceDN w:val="0"/>
        <w:adjustRightInd w:val="0"/>
        <w:snapToGrid w:val="0"/>
        <w:spacing w:before="216" w:line="214" w:lineRule="auto"/>
        <w:ind w:left="85"/>
        <w:jc w:val="left"/>
        <w:textAlignment w:val="baseline"/>
        <w:rPr>
          <w:rFonts w:ascii="宋体" w:hAnsi="宋体" w:eastAsia="宋体" w:cs="宋体"/>
          <w:snapToGrid w:val="0"/>
          <w:color w:val="auto"/>
          <w:kern w:val="0"/>
          <w:sz w:val="23"/>
          <w:szCs w:val="23"/>
          <w:highlight w:val="none"/>
          <w:lang w:eastAsia="en-US"/>
        </w:rPr>
      </w:pPr>
      <w:r>
        <w:rPr>
          <w:rFonts w:ascii="宋体" w:hAnsi="宋体" w:eastAsia="宋体" w:cs="宋体"/>
          <w:snapToGrid w:val="0"/>
          <w:color w:val="auto"/>
          <w:spacing w:val="9"/>
          <w:kern w:val="0"/>
          <w:sz w:val="23"/>
          <w:szCs w:val="23"/>
          <w:highlight w:val="none"/>
          <w:lang w:eastAsia="en-US"/>
        </w:rPr>
        <w:t>供应商：</w:t>
      </w:r>
    </w:p>
    <w:p w14:paraId="1F3AF1B2">
      <w:pPr>
        <w:widowControl/>
        <w:kinsoku w:val="0"/>
        <w:autoSpaceDE w:val="0"/>
        <w:autoSpaceDN w:val="0"/>
        <w:adjustRightInd w:val="0"/>
        <w:snapToGrid w:val="0"/>
        <w:spacing w:line="44" w:lineRule="exact"/>
        <w:jc w:val="left"/>
        <w:textAlignment w:val="baseline"/>
        <w:rPr>
          <w:rFonts w:ascii="Arial" w:hAnsi="Arial" w:eastAsia="Arial" w:cs="Arial"/>
          <w:snapToGrid w:val="0"/>
          <w:color w:val="auto"/>
          <w:kern w:val="0"/>
          <w:szCs w:val="21"/>
          <w:highlight w:val="none"/>
          <w:lang w:eastAsia="en-US"/>
        </w:rPr>
      </w:pPr>
    </w:p>
    <w:tbl>
      <w:tblPr>
        <w:tblStyle w:val="23"/>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2E9FE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vAlign w:val="top"/>
          </w:tcPr>
          <w:p w14:paraId="45233622">
            <w:pPr>
              <w:widowControl/>
              <w:kinsoku w:val="0"/>
              <w:autoSpaceDE w:val="0"/>
              <w:autoSpaceDN w:val="0"/>
              <w:adjustRightInd w:val="0"/>
              <w:snapToGrid w:val="0"/>
              <w:spacing w:before="249" w:line="212" w:lineRule="auto"/>
              <w:ind w:left="96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采购人</w:t>
            </w:r>
          </w:p>
        </w:tc>
        <w:tc>
          <w:tcPr>
            <w:tcW w:w="6708" w:type="dxa"/>
            <w:gridSpan w:val="3"/>
            <w:vAlign w:val="top"/>
          </w:tcPr>
          <w:p w14:paraId="61068765">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081B9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5420FCA9">
            <w:pPr>
              <w:widowControl/>
              <w:kinsoku w:val="0"/>
              <w:autoSpaceDE w:val="0"/>
              <w:autoSpaceDN w:val="0"/>
              <w:adjustRightInd w:val="0"/>
              <w:snapToGrid w:val="0"/>
              <w:spacing w:before="249" w:line="211"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项目名称</w:t>
            </w:r>
          </w:p>
        </w:tc>
        <w:tc>
          <w:tcPr>
            <w:tcW w:w="6708" w:type="dxa"/>
            <w:gridSpan w:val="3"/>
            <w:vAlign w:val="top"/>
          </w:tcPr>
          <w:p w14:paraId="0DAE6C26">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256F3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5AAF458C">
            <w:pPr>
              <w:widowControl/>
              <w:kinsoku w:val="0"/>
              <w:autoSpaceDE w:val="0"/>
              <w:autoSpaceDN w:val="0"/>
              <w:adjustRightInd w:val="0"/>
              <w:snapToGrid w:val="0"/>
              <w:spacing w:before="247" w:line="213"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合同名称</w:t>
            </w:r>
          </w:p>
        </w:tc>
        <w:tc>
          <w:tcPr>
            <w:tcW w:w="6708" w:type="dxa"/>
            <w:gridSpan w:val="3"/>
            <w:vAlign w:val="top"/>
          </w:tcPr>
          <w:p w14:paraId="20011F88">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0D010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5CCE03B5">
            <w:pPr>
              <w:widowControl/>
              <w:kinsoku w:val="0"/>
              <w:autoSpaceDE w:val="0"/>
              <w:autoSpaceDN w:val="0"/>
              <w:adjustRightInd w:val="0"/>
              <w:snapToGrid w:val="0"/>
              <w:spacing w:before="247" w:line="212"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合同编号</w:t>
            </w:r>
          </w:p>
        </w:tc>
        <w:tc>
          <w:tcPr>
            <w:tcW w:w="1961" w:type="dxa"/>
            <w:vAlign w:val="top"/>
          </w:tcPr>
          <w:p w14:paraId="4B5612BC">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2139" w:type="dxa"/>
            <w:vAlign w:val="top"/>
          </w:tcPr>
          <w:p w14:paraId="6CE708EE">
            <w:pPr>
              <w:widowControl/>
              <w:kinsoku w:val="0"/>
              <w:autoSpaceDE w:val="0"/>
              <w:autoSpaceDN w:val="0"/>
              <w:adjustRightInd w:val="0"/>
              <w:snapToGrid w:val="0"/>
              <w:spacing w:before="247" w:line="213" w:lineRule="auto"/>
              <w:ind w:left="607"/>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合同金额</w:t>
            </w:r>
          </w:p>
        </w:tc>
        <w:tc>
          <w:tcPr>
            <w:tcW w:w="2608" w:type="dxa"/>
            <w:vAlign w:val="top"/>
          </w:tcPr>
          <w:p w14:paraId="0481432D">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15047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10559E8D">
            <w:pPr>
              <w:widowControl/>
              <w:kinsoku w:val="0"/>
              <w:autoSpaceDE w:val="0"/>
              <w:autoSpaceDN w:val="0"/>
              <w:adjustRightInd w:val="0"/>
              <w:snapToGrid w:val="0"/>
              <w:spacing w:before="248" w:line="212"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4"/>
                <w:kern w:val="0"/>
                <w:sz w:val="23"/>
                <w:szCs w:val="23"/>
                <w:highlight w:val="none"/>
                <w:lang w:eastAsia="en-US"/>
              </w:rPr>
              <w:t>验收时间</w:t>
            </w:r>
          </w:p>
        </w:tc>
        <w:tc>
          <w:tcPr>
            <w:tcW w:w="1961" w:type="dxa"/>
            <w:vAlign w:val="top"/>
          </w:tcPr>
          <w:p w14:paraId="62950B6E">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2139" w:type="dxa"/>
            <w:vAlign w:val="top"/>
          </w:tcPr>
          <w:p w14:paraId="2A5BB480">
            <w:pPr>
              <w:widowControl/>
              <w:kinsoku w:val="0"/>
              <w:autoSpaceDE w:val="0"/>
              <w:autoSpaceDN w:val="0"/>
              <w:adjustRightInd w:val="0"/>
              <w:snapToGrid w:val="0"/>
              <w:spacing w:before="248" w:line="213" w:lineRule="auto"/>
              <w:ind w:left="607"/>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4"/>
                <w:kern w:val="0"/>
                <w:sz w:val="23"/>
                <w:szCs w:val="23"/>
                <w:highlight w:val="none"/>
                <w:lang w:eastAsia="en-US"/>
              </w:rPr>
              <w:t>验收地点</w:t>
            </w:r>
          </w:p>
        </w:tc>
        <w:tc>
          <w:tcPr>
            <w:tcW w:w="2608" w:type="dxa"/>
            <w:vAlign w:val="top"/>
          </w:tcPr>
          <w:p w14:paraId="3075A336">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593C2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07F126EC">
            <w:pPr>
              <w:widowControl/>
              <w:kinsoku w:val="0"/>
              <w:autoSpaceDE w:val="0"/>
              <w:autoSpaceDN w:val="0"/>
              <w:adjustRightInd w:val="0"/>
              <w:snapToGrid w:val="0"/>
              <w:spacing w:before="248" w:line="213" w:lineRule="auto"/>
              <w:ind w:left="960"/>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1"/>
                <w:kern w:val="0"/>
                <w:sz w:val="23"/>
                <w:szCs w:val="23"/>
                <w:highlight w:val="none"/>
                <w:lang w:eastAsia="en-US"/>
              </w:rPr>
              <w:t>联系人</w:t>
            </w:r>
          </w:p>
        </w:tc>
        <w:tc>
          <w:tcPr>
            <w:tcW w:w="1961" w:type="dxa"/>
            <w:vAlign w:val="top"/>
          </w:tcPr>
          <w:p w14:paraId="7D63CEDA">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2139" w:type="dxa"/>
            <w:vAlign w:val="top"/>
          </w:tcPr>
          <w:p w14:paraId="1A6CC847">
            <w:pPr>
              <w:widowControl/>
              <w:kinsoku w:val="0"/>
              <w:autoSpaceDE w:val="0"/>
              <w:autoSpaceDN w:val="0"/>
              <w:adjustRightInd w:val="0"/>
              <w:snapToGrid w:val="0"/>
              <w:spacing w:before="248" w:line="213" w:lineRule="auto"/>
              <w:ind w:left="605"/>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3"/>
                <w:kern w:val="0"/>
                <w:sz w:val="23"/>
                <w:szCs w:val="23"/>
                <w:highlight w:val="none"/>
                <w:lang w:eastAsia="en-US"/>
              </w:rPr>
              <w:t>联系电话</w:t>
            </w:r>
          </w:p>
        </w:tc>
        <w:tc>
          <w:tcPr>
            <w:tcW w:w="2608" w:type="dxa"/>
            <w:vAlign w:val="top"/>
          </w:tcPr>
          <w:p w14:paraId="4B70A780">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6364D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vAlign w:val="top"/>
          </w:tcPr>
          <w:p w14:paraId="05DCD25C">
            <w:pPr>
              <w:widowControl/>
              <w:kinsoku w:val="0"/>
              <w:autoSpaceDE w:val="0"/>
              <w:autoSpaceDN w:val="0"/>
              <w:adjustRightInd w:val="0"/>
              <w:snapToGrid w:val="0"/>
              <w:spacing w:before="250" w:line="212" w:lineRule="auto"/>
              <w:ind w:left="3353"/>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7"/>
                <w:kern w:val="0"/>
                <w:sz w:val="23"/>
                <w:szCs w:val="23"/>
                <w:highlight w:val="none"/>
                <w:lang w:eastAsia="en-US"/>
              </w:rPr>
              <w:t>履约验收方案及工作要求</w:t>
            </w:r>
          </w:p>
        </w:tc>
      </w:tr>
      <w:tr w14:paraId="36838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vAlign w:val="top"/>
          </w:tcPr>
          <w:p w14:paraId="604BC777">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F638D2C">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0CEAFAEE">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69B3CCB3">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760DCFFE">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7EED993D">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0CF4518B">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355BE392">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402A599">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0875C1B">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0CAC5238">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D331EA4">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BBA3838">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34FB421">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104401C">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3FE7ED2D">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DD6179E">
            <w:pPr>
              <w:kinsoku w:val="0"/>
              <w:autoSpaceDE w:val="0"/>
              <w:autoSpaceDN w:val="0"/>
              <w:adjustRightInd w:val="0"/>
              <w:snapToGrid w:val="0"/>
              <w:spacing w:line="242" w:lineRule="auto"/>
              <w:jc w:val="left"/>
              <w:textAlignment w:val="baseline"/>
              <w:rPr>
                <w:rFonts w:ascii="Arial" w:hAnsi="Arial" w:eastAsia="Arial" w:cs="Arial"/>
                <w:snapToGrid w:val="0"/>
                <w:color w:val="auto"/>
                <w:kern w:val="0"/>
                <w:sz w:val="21"/>
                <w:szCs w:val="21"/>
                <w:highlight w:val="none"/>
                <w:lang w:val="en-US" w:eastAsia="en-US" w:bidi="ar-SA"/>
              </w:rPr>
            </w:pPr>
          </w:p>
          <w:p w14:paraId="063E6BEE">
            <w:pPr>
              <w:kinsoku w:val="0"/>
              <w:autoSpaceDE w:val="0"/>
              <w:autoSpaceDN w:val="0"/>
              <w:adjustRightInd w:val="0"/>
              <w:snapToGrid w:val="0"/>
              <w:spacing w:line="242" w:lineRule="auto"/>
              <w:jc w:val="left"/>
              <w:textAlignment w:val="baseline"/>
              <w:rPr>
                <w:rFonts w:ascii="Arial" w:hAnsi="Arial" w:eastAsia="Arial" w:cs="Arial"/>
                <w:snapToGrid w:val="0"/>
                <w:color w:val="auto"/>
                <w:kern w:val="0"/>
                <w:sz w:val="21"/>
                <w:szCs w:val="21"/>
                <w:highlight w:val="none"/>
                <w:lang w:val="en-US" w:eastAsia="en-US" w:bidi="ar-SA"/>
              </w:rPr>
            </w:pPr>
          </w:p>
          <w:p w14:paraId="177AE4CF">
            <w:pPr>
              <w:widowControl/>
              <w:kinsoku w:val="0"/>
              <w:autoSpaceDE w:val="0"/>
              <w:autoSpaceDN w:val="0"/>
              <w:adjustRightInd w:val="0"/>
              <w:snapToGrid w:val="0"/>
              <w:spacing w:before="75" w:line="507" w:lineRule="auto"/>
              <w:ind w:left="5128" w:right="2893" w:firstLine="183"/>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3"/>
                <w:kern w:val="0"/>
                <w:sz w:val="23"/>
                <w:szCs w:val="23"/>
                <w:highlight w:val="none"/>
                <w:lang w:eastAsia="en-US"/>
              </w:rPr>
              <w:t>单位公章</w:t>
            </w:r>
            <w:r>
              <w:rPr>
                <w:rFonts w:ascii="黑体" w:hAnsi="黑体" w:eastAsia="黑体" w:cs="黑体"/>
                <w:snapToGrid w:val="0"/>
                <w:color w:val="auto"/>
                <w:kern w:val="0"/>
                <w:sz w:val="23"/>
                <w:szCs w:val="23"/>
                <w:highlight w:val="none"/>
                <w:lang w:eastAsia="en-US"/>
              </w:rPr>
              <w:t xml:space="preserve">  </w:t>
            </w:r>
            <w:r>
              <w:rPr>
                <w:rFonts w:ascii="黑体" w:hAnsi="黑体" w:eastAsia="黑体" w:cs="黑体"/>
                <w:snapToGrid w:val="0"/>
                <w:color w:val="auto"/>
                <w:spacing w:val="-16"/>
                <w:kern w:val="0"/>
                <w:sz w:val="23"/>
                <w:szCs w:val="23"/>
                <w:highlight w:val="none"/>
                <w:lang w:eastAsia="en-US"/>
              </w:rPr>
              <w:t>年</w:t>
            </w:r>
            <w:r>
              <w:rPr>
                <w:rFonts w:ascii="黑体" w:hAnsi="黑体" w:eastAsia="黑体" w:cs="黑体"/>
                <w:snapToGrid w:val="0"/>
                <w:color w:val="auto"/>
                <w:spacing w:val="18"/>
                <w:kern w:val="0"/>
                <w:sz w:val="23"/>
                <w:szCs w:val="23"/>
                <w:highlight w:val="none"/>
                <w:lang w:eastAsia="en-US"/>
              </w:rPr>
              <w:t xml:space="preserve">  </w:t>
            </w:r>
            <w:r>
              <w:rPr>
                <w:rFonts w:ascii="黑体" w:hAnsi="黑体" w:eastAsia="黑体" w:cs="黑体"/>
                <w:snapToGrid w:val="0"/>
                <w:color w:val="auto"/>
                <w:spacing w:val="-16"/>
                <w:kern w:val="0"/>
                <w:sz w:val="23"/>
                <w:szCs w:val="23"/>
                <w:highlight w:val="none"/>
                <w:lang w:eastAsia="en-US"/>
              </w:rPr>
              <w:t>月</w:t>
            </w:r>
            <w:r>
              <w:rPr>
                <w:rFonts w:ascii="黑体" w:hAnsi="黑体" w:eastAsia="黑体" w:cs="黑体"/>
                <w:snapToGrid w:val="0"/>
                <w:color w:val="auto"/>
                <w:spacing w:val="12"/>
                <w:kern w:val="0"/>
                <w:sz w:val="23"/>
                <w:szCs w:val="23"/>
                <w:highlight w:val="none"/>
                <w:lang w:eastAsia="en-US"/>
              </w:rPr>
              <w:t xml:space="preserve">  </w:t>
            </w:r>
            <w:r>
              <w:rPr>
                <w:rFonts w:ascii="黑体" w:hAnsi="黑体" w:eastAsia="黑体" w:cs="黑体"/>
                <w:snapToGrid w:val="0"/>
                <w:color w:val="auto"/>
                <w:spacing w:val="-16"/>
                <w:kern w:val="0"/>
                <w:sz w:val="23"/>
                <w:szCs w:val="23"/>
                <w:highlight w:val="none"/>
                <w:lang w:eastAsia="en-US"/>
              </w:rPr>
              <w:t>日</w:t>
            </w:r>
          </w:p>
        </w:tc>
      </w:tr>
    </w:tbl>
    <w:p w14:paraId="6575D124">
      <w:pPr>
        <w:rPr>
          <w:rFonts w:ascii="Arial" w:hAnsi="Arial" w:eastAsia="Arial" w:cs="Arial"/>
          <w:color w:val="auto"/>
          <w:sz w:val="21"/>
          <w:szCs w:val="21"/>
          <w:highlight w:val="none"/>
        </w:rPr>
        <w:sectPr>
          <w:footerReference r:id="rId5" w:type="default"/>
          <w:pgSz w:w="11906" w:h="16838"/>
          <w:pgMar w:top="1431" w:right="1132" w:bottom="1380" w:left="1390" w:header="0" w:footer="1163" w:gutter="0"/>
          <w:pgBorders>
            <w:top w:val="none" w:sz="0" w:space="0"/>
            <w:left w:val="none" w:sz="0" w:space="0"/>
            <w:bottom w:val="none" w:sz="0" w:space="0"/>
            <w:right w:val="none" w:sz="0" w:space="0"/>
          </w:pgBorders>
          <w:pgNumType w:fmt="decimal" w:start="1"/>
          <w:cols w:space="720" w:num="1"/>
        </w:sectPr>
      </w:pPr>
    </w:p>
    <w:p w14:paraId="5A65AC49">
      <w:pPr>
        <w:overflowPunct w:val="0"/>
        <w:adjustRightInd w:val="0"/>
        <w:textAlignment w:val="baseline"/>
        <w:rPr>
          <w:rFonts w:ascii="宋体" w:hAnsi="宋体" w:eastAsia="宋体" w:cs="Times New Roman"/>
          <w:color w:val="auto"/>
          <w:sz w:val="24"/>
          <w:highlight w:val="none"/>
        </w:rPr>
      </w:pPr>
    </w:p>
    <w:p w14:paraId="48BFDC90">
      <w:pPr>
        <w:tabs>
          <w:tab w:val="left" w:pos="3462"/>
        </w:tabs>
        <w:bidi w:val="0"/>
        <w:jc w:val="center"/>
        <w:rPr>
          <w:rFonts w:ascii="微软雅黑" w:hAnsi="微软雅黑" w:eastAsia="微软雅黑" w:cs="微软雅黑"/>
          <w:snapToGrid w:val="0"/>
          <w:color w:val="auto"/>
          <w:kern w:val="0"/>
          <w:sz w:val="36"/>
          <w:szCs w:val="36"/>
          <w:highlight w:val="none"/>
          <w:lang w:eastAsia="en-US"/>
        </w:rPr>
      </w:pPr>
      <w:r>
        <w:rPr>
          <w:rFonts w:hint="eastAsia" w:ascii="微软雅黑" w:hAnsi="微软雅黑" w:eastAsia="微软雅黑" w:cs="微软雅黑"/>
          <w:snapToGrid w:val="0"/>
          <w:color w:val="auto"/>
          <w:spacing w:val="19"/>
          <w:kern w:val="0"/>
          <w:sz w:val="36"/>
          <w:szCs w:val="36"/>
          <w:highlight w:val="none"/>
          <w:lang w:val="en-US" w:eastAsia="zh-CN"/>
        </w:rPr>
        <w:t>政</w:t>
      </w:r>
      <w:r>
        <w:rPr>
          <w:rFonts w:ascii="微软雅黑" w:hAnsi="微软雅黑" w:eastAsia="微软雅黑" w:cs="微软雅黑"/>
          <w:snapToGrid w:val="0"/>
          <w:color w:val="auto"/>
          <w:spacing w:val="19"/>
          <w:kern w:val="0"/>
          <w:sz w:val="36"/>
          <w:szCs w:val="36"/>
          <w:highlight w:val="none"/>
          <w:lang w:eastAsia="en-US"/>
        </w:rPr>
        <w:t>府采购履约验收书(服务类)</w:t>
      </w:r>
    </w:p>
    <w:tbl>
      <w:tblPr>
        <w:tblStyle w:val="23"/>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249F3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vAlign w:val="top"/>
          </w:tcPr>
          <w:p w14:paraId="308629E4">
            <w:pPr>
              <w:widowControl/>
              <w:kinsoku w:val="0"/>
              <w:autoSpaceDE w:val="0"/>
              <w:autoSpaceDN w:val="0"/>
              <w:adjustRightInd w:val="0"/>
              <w:snapToGrid w:val="0"/>
              <w:spacing w:before="298" w:line="207" w:lineRule="auto"/>
              <w:ind w:left="54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采购人</w:t>
            </w:r>
          </w:p>
        </w:tc>
        <w:tc>
          <w:tcPr>
            <w:tcW w:w="1714" w:type="dxa"/>
            <w:vAlign w:val="top"/>
          </w:tcPr>
          <w:p w14:paraId="451B7CF1">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816" w:type="dxa"/>
            <w:vAlign w:val="top"/>
          </w:tcPr>
          <w:p w14:paraId="0370AE0E">
            <w:pPr>
              <w:widowControl/>
              <w:kinsoku w:val="0"/>
              <w:autoSpaceDE w:val="0"/>
              <w:autoSpaceDN w:val="0"/>
              <w:adjustRightInd w:val="0"/>
              <w:snapToGrid w:val="0"/>
              <w:spacing w:before="298" w:line="208" w:lineRule="auto"/>
              <w:ind w:left="55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项目名称</w:t>
            </w:r>
          </w:p>
        </w:tc>
        <w:tc>
          <w:tcPr>
            <w:tcW w:w="2476" w:type="dxa"/>
            <w:vAlign w:val="top"/>
          </w:tcPr>
          <w:p w14:paraId="260E91B0">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3987" w:type="dxa"/>
            <w:gridSpan w:val="2"/>
            <w:vAlign w:val="top"/>
          </w:tcPr>
          <w:p w14:paraId="66C3B8AB">
            <w:pPr>
              <w:widowControl/>
              <w:kinsoku w:val="0"/>
              <w:autoSpaceDE w:val="0"/>
              <w:autoSpaceDN w:val="0"/>
              <w:adjustRightInd w:val="0"/>
              <w:snapToGrid w:val="0"/>
              <w:spacing w:before="298" w:line="207" w:lineRule="auto"/>
              <w:ind w:left="16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合同名称</w:t>
            </w:r>
          </w:p>
        </w:tc>
        <w:tc>
          <w:tcPr>
            <w:tcW w:w="2556" w:type="dxa"/>
            <w:vAlign w:val="top"/>
          </w:tcPr>
          <w:p w14:paraId="12A24C89">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5F4B5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vAlign w:val="top"/>
          </w:tcPr>
          <w:p w14:paraId="15E44B31">
            <w:pPr>
              <w:widowControl/>
              <w:kinsoku w:val="0"/>
              <w:autoSpaceDE w:val="0"/>
              <w:autoSpaceDN w:val="0"/>
              <w:adjustRightInd w:val="0"/>
              <w:snapToGrid w:val="0"/>
              <w:spacing w:before="298" w:line="207" w:lineRule="auto"/>
              <w:ind w:left="54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供应商</w:t>
            </w:r>
          </w:p>
        </w:tc>
        <w:tc>
          <w:tcPr>
            <w:tcW w:w="1714" w:type="dxa"/>
            <w:vAlign w:val="top"/>
          </w:tcPr>
          <w:p w14:paraId="47EA2CD3">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816" w:type="dxa"/>
            <w:vAlign w:val="top"/>
          </w:tcPr>
          <w:p w14:paraId="45E60E5E">
            <w:pPr>
              <w:widowControl/>
              <w:kinsoku w:val="0"/>
              <w:autoSpaceDE w:val="0"/>
              <w:autoSpaceDN w:val="0"/>
              <w:adjustRightInd w:val="0"/>
              <w:snapToGrid w:val="0"/>
              <w:spacing w:before="298" w:line="207" w:lineRule="auto"/>
              <w:ind w:left="2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项目及合同编号</w:t>
            </w:r>
          </w:p>
        </w:tc>
        <w:tc>
          <w:tcPr>
            <w:tcW w:w="2476" w:type="dxa"/>
            <w:vAlign w:val="top"/>
          </w:tcPr>
          <w:p w14:paraId="47307C32">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3987" w:type="dxa"/>
            <w:gridSpan w:val="2"/>
            <w:vAlign w:val="top"/>
          </w:tcPr>
          <w:p w14:paraId="3BFB6DFD">
            <w:pPr>
              <w:widowControl/>
              <w:kinsoku w:val="0"/>
              <w:autoSpaceDE w:val="0"/>
              <w:autoSpaceDN w:val="0"/>
              <w:adjustRightInd w:val="0"/>
              <w:snapToGrid w:val="0"/>
              <w:spacing w:before="298" w:line="208" w:lineRule="auto"/>
              <w:ind w:left="16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合同金额</w:t>
            </w:r>
          </w:p>
        </w:tc>
        <w:tc>
          <w:tcPr>
            <w:tcW w:w="2556" w:type="dxa"/>
            <w:vAlign w:val="top"/>
          </w:tcPr>
          <w:p w14:paraId="05D78B2F">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7D3D5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5" w:type="dxa"/>
            <w:vAlign w:val="top"/>
          </w:tcPr>
          <w:p w14:paraId="1314EA2A">
            <w:pPr>
              <w:widowControl/>
              <w:kinsoku w:val="0"/>
              <w:autoSpaceDE w:val="0"/>
              <w:autoSpaceDN w:val="0"/>
              <w:adjustRightInd w:val="0"/>
              <w:snapToGrid w:val="0"/>
              <w:spacing w:before="267" w:line="240" w:lineRule="exact"/>
              <w:ind w:left="186"/>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分期（段）验收</w:t>
            </w:r>
          </w:p>
        </w:tc>
        <w:tc>
          <w:tcPr>
            <w:tcW w:w="1714" w:type="dxa"/>
            <w:vAlign w:val="top"/>
          </w:tcPr>
          <w:p w14:paraId="655C14A6">
            <w:pPr>
              <w:widowControl/>
              <w:kinsoku w:val="0"/>
              <w:autoSpaceDE w:val="0"/>
              <w:autoSpaceDN w:val="0"/>
              <w:adjustRightInd w:val="0"/>
              <w:snapToGrid w:val="0"/>
              <w:spacing w:before="267" w:line="240" w:lineRule="exact"/>
              <w:ind w:left="36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6"/>
                <w:kern w:val="0"/>
                <w:position w:val="1"/>
                <w:sz w:val="18"/>
                <w:szCs w:val="18"/>
                <w:highlight w:val="none"/>
                <w:lang w:eastAsia="en-US"/>
              </w:rPr>
              <w:t>是□</w:t>
            </w:r>
            <w:r>
              <w:rPr>
                <w:rFonts w:ascii="宋体" w:hAnsi="宋体" w:eastAsia="宋体" w:cs="宋体"/>
                <w:snapToGrid w:val="0"/>
                <w:color w:val="auto"/>
                <w:spacing w:val="4"/>
                <w:kern w:val="0"/>
                <w:position w:val="1"/>
                <w:sz w:val="18"/>
                <w:szCs w:val="18"/>
                <w:highlight w:val="none"/>
                <w:lang w:eastAsia="en-US"/>
              </w:rPr>
              <w:t xml:space="preserve">   </w:t>
            </w:r>
            <w:r>
              <w:rPr>
                <w:rFonts w:ascii="宋体" w:hAnsi="宋体" w:eastAsia="宋体" w:cs="宋体"/>
                <w:snapToGrid w:val="0"/>
                <w:color w:val="auto"/>
                <w:spacing w:val="-6"/>
                <w:kern w:val="0"/>
                <w:position w:val="1"/>
                <w:sz w:val="18"/>
                <w:szCs w:val="18"/>
                <w:highlight w:val="none"/>
                <w:lang w:eastAsia="en-US"/>
              </w:rPr>
              <w:t>否□</w:t>
            </w:r>
          </w:p>
        </w:tc>
        <w:tc>
          <w:tcPr>
            <w:tcW w:w="1816" w:type="dxa"/>
            <w:vAlign w:val="top"/>
          </w:tcPr>
          <w:p w14:paraId="489172F4">
            <w:pPr>
              <w:widowControl/>
              <w:kinsoku w:val="0"/>
              <w:autoSpaceDE w:val="0"/>
              <w:autoSpaceDN w:val="0"/>
              <w:adjustRightInd w:val="0"/>
              <w:snapToGrid w:val="0"/>
              <w:spacing w:before="267" w:line="240" w:lineRule="exact"/>
              <w:ind w:left="28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分期（段）情况</w:t>
            </w:r>
          </w:p>
        </w:tc>
        <w:tc>
          <w:tcPr>
            <w:tcW w:w="9019" w:type="dxa"/>
            <w:gridSpan w:val="4"/>
            <w:vAlign w:val="top"/>
          </w:tcPr>
          <w:p w14:paraId="0680C953">
            <w:pPr>
              <w:widowControl/>
              <w:kinsoku w:val="0"/>
              <w:autoSpaceDE w:val="0"/>
              <w:autoSpaceDN w:val="0"/>
              <w:adjustRightInd w:val="0"/>
              <w:snapToGrid w:val="0"/>
              <w:spacing w:before="267" w:line="240" w:lineRule="exact"/>
              <w:ind w:left="280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共分   期（段</w:t>
            </w:r>
            <w:r>
              <w:rPr>
                <w:rFonts w:ascii="宋体" w:hAnsi="宋体" w:eastAsia="宋体" w:cs="宋体"/>
                <w:snapToGrid w:val="0"/>
                <w:color w:val="auto"/>
                <w:spacing w:val="6"/>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此为第   期（段）验收</w:t>
            </w:r>
          </w:p>
        </w:tc>
      </w:tr>
      <w:tr w14:paraId="4ABB2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vAlign w:val="top"/>
          </w:tcPr>
          <w:p w14:paraId="1A7F4264">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2D1EC7AF">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53A9DA2B">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716C8810">
            <w:pPr>
              <w:widowControl/>
              <w:kinsoku w:val="0"/>
              <w:autoSpaceDE w:val="0"/>
              <w:autoSpaceDN w:val="0"/>
              <w:adjustRightInd w:val="0"/>
              <w:snapToGrid w:val="0"/>
              <w:spacing w:before="58" w:line="208"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验收时间</w:t>
            </w:r>
          </w:p>
        </w:tc>
        <w:tc>
          <w:tcPr>
            <w:tcW w:w="1714" w:type="dxa"/>
            <w:vAlign w:val="top"/>
          </w:tcPr>
          <w:p w14:paraId="36B1A922">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816" w:type="dxa"/>
            <w:vAlign w:val="top"/>
          </w:tcPr>
          <w:p w14:paraId="4E5AA7CA">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6B6734E0">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2A8A9245">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23623C94">
            <w:pPr>
              <w:widowControl/>
              <w:kinsoku w:val="0"/>
              <w:autoSpaceDE w:val="0"/>
              <w:autoSpaceDN w:val="0"/>
              <w:adjustRightInd w:val="0"/>
              <w:snapToGrid w:val="0"/>
              <w:spacing w:before="58" w:line="208" w:lineRule="auto"/>
              <w:ind w:left="55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验收地点</w:t>
            </w:r>
          </w:p>
        </w:tc>
        <w:tc>
          <w:tcPr>
            <w:tcW w:w="2476" w:type="dxa"/>
            <w:vAlign w:val="top"/>
          </w:tcPr>
          <w:p w14:paraId="7069202B">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3987" w:type="dxa"/>
            <w:gridSpan w:val="2"/>
            <w:vAlign w:val="top"/>
          </w:tcPr>
          <w:p w14:paraId="7D0C29C0">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18D6B36A">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3C66D1CF">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445F089C">
            <w:pPr>
              <w:widowControl/>
              <w:kinsoku w:val="0"/>
              <w:autoSpaceDE w:val="0"/>
              <w:autoSpaceDN w:val="0"/>
              <w:adjustRightInd w:val="0"/>
              <w:snapToGrid w:val="0"/>
              <w:spacing w:before="59" w:line="208" w:lineRule="auto"/>
              <w:ind w:left="1459"/>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验收组织形式</w:t>
            </w:r>
          </w:p>
        </w:tc>
        <w:tc>
          <w:tcPr>
            <w:tcW w:w="2556" w:type="dxa"/>
            <w:vAlign w:val="top"/>
          </w:tcPr>
          <w:p w14:paraId="795D4801">
            <w:pPr>
              <w:widowControl/>
              <w:kinsoku w:val="0"/>
              <w:autoSpaceDE w:val="0"/>
              <w:autoSpaceDN w:val="0"/>
              <w:adjustRightInd w:val="0"/>
              <w:snapToGrid w:val="0"/>
              <w:spacing w:before="267" w:line="239" w:lineRule="exact"/>
              <w:ind w:left="67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position w:val="1"/>
                <w:sz w:val="18"/>
                <w:szCs w:val="18"/>
                <w:highlight w:val="none"/>
                <w:lang w:eastAsia="en-US"/>
              </w:rPr>
              <w:t>□自行简易验收</w:t>
            </w:r>
          </w:p>
          <w:p w14:paraId="1C099A9D">
            <w:pPr>
              <w:kinsoku w:val="0"/>
              <w:autoSpaceDE w:val="0"/>
              <w:autoSpaceDN w:val="0"/>
              <w:adjustRightInd w:val="0"/>
              <w:snapToGrid w:val="0"/>
              <w:spacing w:line="260" w:lineRule="auto"/>
              <w:jc w:val="left"/>
              <w:textAlignment w:val="baseline"/>
              <w:rPr>
                <w:rFonts w:ascii="Arial" w:hAnsi="Arial" w:eastAsia="Arial" w:cs="Arial"/>
                <w:snapToGrid w:val="0"/>
                <w:color w:val="auto"/>
                <w:kern w:val="0"/>
                <w:sz w:val="21"/>
                <w:szCs w:val="21"/>
                <w:highlight w:val="none"/>
                <w:lang w:val="en-US" w:eastAsia="en-US" w:bidi="ar-SA"/>
              </w:rPr>
            </w:pPr>
          </w:p>
          <w:p w14:paraId="0B674016">
            <w:pPr>
              <w:widowControl/>
              <w:kinsoku w:val="0"/>
              <w:autoSpaceDE w:val="0"/>
              <w:autoSpaceDN w:val="0"/>
              <w:adjustRightInd w:val="0"/>
              <w:snapToGrid w:val="0"/>
              <w:spacing w:before="58" w:line="240" w:lineRule="exact"/>
              <w:ind w:left="67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position w:val="1"/>
                <w:sz w:val="18"/>
                <w:szCs w:val="18"/>
                <w:highlight w:val="none"/>
                <w:lang w:eastAsia="en-US"/>
              </w:rPr>
              <w:t>□验收小组验收</w:t>
            </w:r>
          </w:p>
          <w:p w14:paraId="159C16E4">
            <w:pPr>
              <w:kinsoku w:val="0"/>
              <w:autoSpaceDE w:val="0"/>
              <w:autoSpaceDN w:val="0"/>
              <w:adjustRightInd w:val="0"/>
              <w:snapToGrid w:val="0"/>
              <w:spacing w:line="262" w:lineRule="auto"/>
              <w:jc w:val="left"/>
              <w:textAlignment w:val="baseline"/>
              <w:rPr>
                <w:rFonts w:ascii="Arial" w:hAnsi="Arial" w:eastAsia="Arial" w:cs="Arial"/>
                <w:snapToGrid w:val="0"/>
                <w:color w:val="auto"/>
                <w:kern w:val="0"/>
                <w:sz w:val="21"/>
                <w:szCs w:val="21"/>
                <w:highlight w:val="none"/>
                <w:lang w:val="en-US" w:eastAsia="en-US" w:bidi="ar-SA"/>
              </w:rPr>
            </w:pPr>
          </w:p>
          <w:p w14:paraId="1A8DCA93">
            <w:pPr>
              <w:widowControl/>
              <w:kinsoku w:val="0"/>
              <w:autoSpaceDE w:val="0"/>
              <w:autoSpaceDN w:val="0"/>
              <w:adjustRightInd w:val="0"/>
              <w:snapToGrid w:val="0"/>
              <w:spacing w:before="58" w:line="239" w:lineRule="exact"/>
              <w:ind w:left="58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position w:val="1"/>
                <w:sz w:val="18"/>
                <w:szCs w:val="18"/>
                <w:highlight w:val="none"/>
                <w:lang w:eastAsia="en-US"/>
              </w:rPr>
              <w:t>□采购代理机构验收</w:t>
            </w:r>
          </w:p>
        </w:tc>
      </w:tr>
      <w:tr w14:paraId="16E1C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625" w:type="dxa"/>
            <w:vMerge w:val="restart"/>
            <w:tcBorders>
              <w:bottom w:val="nil"/>
            </w:tcBorders>
            <w:vAlign w:val="top"/>
          </w:tcPr>
          <w:p w14:paraId="6FE01693">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1081C3DE">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2F78CE79">
            <w:pPr>
              <w:kinsoku w:val="0"/>
              <w:autoSpaceDE w:val="0"/>
              <w:autoSpaceDN w:val="0"/>
              <w:adjustRightInd w:val="0"/>
              <w:snapToGrid w:val="0"/>
              <w:spacing w:line="266" w:lineRule="auto"/>
              <w:jc w:val="left"/>
              <w:textAlignment w:val="baseline"/>
              <w:rPr>
                <w:rFonts w:ascii="Arial" w:hAnsi="Arial" w:eastAsia="Arial" w:cs="Arial"/>
                <w:snapToGrid w:val="0"/>
                <w:color w:val="auto"/>
                <w:kern w:val="0"/>
                <w:sz w:val="21"/>
                <w:szCs w:val="21"/>
                <w:highlight w:val="none"/>
                <w:lang w:val="en-US" w:eastAsia="en-US" w:bidi="ar-SA"/>
              </w:rPr>
            </w:pPr>
          </w:p>
          <w:p w14:paraId="555EEAC4">
            <w:pPr>
              <w:widowControl/>
              <w:kinsoku w:val="0"/>
              <w:autoSpaceDE w:val="0"/>
              <w:autoSpaceDN w:val="0"/>
              <w:adjustRightInd w:val="0"/>
              <w:snapToGrid w:val="0"/>
              <w:spacing w:before="58" w:line="208"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验收内容</w:t>
            </w:r>
          </w:p>
        </w:tc>
        <w:tc>
          <w:tcPr>
            <w:tcW w:w="1714" w:type="dxa"/>
            <w:vAlign w:val="top"/>
          </w:tcPr>
          <w:p w14:paraId="5FC413DD">
            <w:pPr>
              <w:widowControl/>
              <w:kinsoku w:val="0"/>
              <w:autoSpaceDE w:val="0"/>
              <w:autoSpaceDN w:val="0"/>
              <w:adjustRightInd w:val="0"/>
              <w:snapToGrid w:val="0"/>
              <w:spacing w:before="298" w:line="208" w:lineRule="auto"/>
              <w:ind w:left="498"/>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服务质量</w:t>
            </w:r>
          </w:p>
        </w:tc>
        <w:tc>
          <w:tcPr>
            <w:tcW w:w="1816" w:type="dxa"/>
            <w:vAlign w:val="top"/>
          </w:tcPr>
          <w:p w14:paraId="56EBF363">
            <w:pPr>
              <w:widowControl/>
              <w:kinsoku w:val="0"/>
              <w:autoSpaceDE w:val="0"/>
              <w:autoSpaceDN w:val="0"/>
              <w:adjustRightInd w:val="0"/>
              <w:snapToGrid w:val="0"/>
              <w:spacing w:before="298" w:line="208" w:lineRule="auto"/>
              <w:ind w:left="55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服务进度</w:t>
            </w:r>
          </w:p>
        </w:tc>
        <w:tc>
          <w:tcPr>
            <w:tcW w:w="2476" w:type="dxa"/>
            <w:vAlign w:val="top"/>
          </w:tcPr>
          <w:p w14:paraId="46A6F2CA">
            <w:pPr>
              <w:widowControl/>
              <w:kinsoku w:val="0"/>
              <w:autoSpaceDE w:val="0"/>
              <w:autoSpaceDN w:val="0"/>
              <w:adjustRightInd w:val="0"/>
              <w:snapToGrid w:val="0"/>
              <w:spacing w:before="298" w:line="207" w:lineRule="auto"/>
              <w:ind w:left="38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人员、设备 配备情况</w:t>
            </w:r>
          </w:p>
        </w:tc>
        <w:tc>
          <w:tcPr>
            <w:tcW w:w="1705" w:type="dxa"/>
            <w:vAlign w:val="top"/>
          </w:tcPr>
          <w:p w14:paraId="303A4007">
            <w:pPr>
              <w:widowControl/>
              <w:kinsoku w:val="0"/>
              <w:autoSpaceDE w:val="0"/>
              <w:autoSpaceDN w:val="0"/>
              <w:adjustRightInd w:val="0"/>
              <w:snapToGrid w:val="0"/>
              <w:spacing w:before="297" w:line="209" w:lineRule="auto"/>
              <w:ind w:left="23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行业、安全标准</w:t>
            </w:r>
          </w:p>
        </w:tc>
        <w:tc>
          <w:tcPr>
            <w:tcW w:w="2282" w:type="dxa"/>
            <w:vAlign w:val="top"/>
          </w:tcPr>
          <w:p w14:paraId="7944A319">
            <w:pPr>
              <w:widowControl/>
              <w:kinsoku w:val="0"/>
              <w:autoSpaceDE w:val="0"/>
              <w:autoSpaceDN w:val="0"/>
              <w:adjustRightInd w:val="0"/>
              <w:snapToGrid w:val="0"/>
              <w:spacing w:before="298" w:line="208" w:lineRule="auto"/>
              <w:ind w:left="3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项目需求、服务承诺</w:t>
            </w:r>
          </w:p>
        </w:tc>
        <w:tc>
          <w:tcPr>
            <w:tcW w:w="2556" w:type="dxa"/>
            <w:vAlign w:val="top"/>
          </w:tcPr>
          <w:p w14:paraId="088FA493">
            <w:pPr>
              <w:widowControl/>
              <w:kinsoku w:val="0"/>
              <w:autoSpaceDE w:val="0"/>
              <w:autoSpaceDN w:val="0"/>
              <w:adjustRightInd w:val="0"/>
              <w:snapToGrid w:val="0"/>
              <w:spacing w:before="299" w:line="208" w:lineRule="auto"/>
              <w:ind w:left="159"/>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合同履约时间、 地点、方式</w:t>
            </w:r>
          </w:p>
        </w:tc>
      </w:tr>
      <w:tr w14:paraId="716B75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Merge w:val="continue"/>
            <w:tcBorders>
              <w:top w:val="nil"/>
            </w:tcBorders>
            <w:vAlign w:val="top"/>
          </w:tcPr>
          <w:p w14:paraId="0233ABB0">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714" w:type="dxa"/>
            <w:vAlign w:val="top"/>
          </w:tcPr>
          <w:p w14:paraId="1FE8C6DA">
            <w:pPr>
              <w:widowControl/>
              <w:kinsoku w:val="0"/>
              <w:autoSpaceDE w:val="0"/>
              <w:autoSpaceDN w:val="0"/>
              <w:adjustRightInd w:val="0"/>
              <w:snapToGrid w:val="0"/>
              <w:spacing w:before="270" w:line="430" w:lineRule="auto"/>
              <w:ind w:left="501" w:right="497"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c>
          <w:tcPr>
            <w:tcW w:w="1816" w:type="dxa"/>
            <w:vAlign w:val="top"/>
          </w:tcPr>
          <w:p w14:paraId="32958E59">
            <w:pPr>
              <w:widowControl/>
              <w:kinsoku w:val="0"/>
              <w:autoSpaceDE w:val="0"/>
              <w:autoSpaceDN w:val="0"/>
              <w:adjustRightInd w:val="0"/>
              <w:snapToGrid w:val="0"/>
              <w:spacing w:before="270" w:line="430" w:lineRule="auto"/>
              <w:ind w:left="553" w:right="547" w:hanging="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8"/>
                <w:kern w:val="0"/>
                <w:sz w:val="18"/>
                <w:szCs w:val="18"/>
                <w:highlight w:val="none"/>
                <w:lang w:eastAsia="en-US"/>
              </w:rPr>
              <w:t>按</w:t>
            </w:r>
            <w:r>
              <w:rPr>
                <w:rFonts w:ascii="宋体" w:hAnsi="宋体" w:eastAsia="宋体" w:cs="宋体"/>
                <w:snapToGrid w:val="0"/>
                <w:color w:val="auto"/>
                <w:spacing w:val="7"/>
                <w:kern w:val="0"/>
                <w:sz w:val="18"/>
                <w:szCs w:val="18"/>
                <w:highlight w:val="none"/>
                <w:lang w:eastAsia="en-US"/>
              </w:rPr>
              <w:t xml:space="preserve">  </w:t>
            </w:r>
            <w:r>
              <w:rPr>
                <w:rFonts w:ascii="宋体" w:hAnsi="宋体" w:eastAsia="宋体" w:cs="宋体"/>
                <w:snapToGrid w:val="0"/>
                <w:color w:val="auto"/>
                <w:spacing w:val="-8"/>
                <w:kern w:val="0"/>
                <w:sz w:val="18"/>
                <w:szCs w:val="18"/>
                <w:highlight w:val="none"/>
                <w:lang w:eastAsia="en-US"/>
              </w:rPr>
              <w:t>时□</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不按时□</w:t>
            </w:r>
          </w:p>
        </w:tc>
        <w:tc>
          <w:tcPr>
            <w:tcW w:w="2476" w:type="dxa"/>
            <w:vAlign w:val="top"/>
          </w:tcPr>
          <w:p w14:paraId="2D2A5157">
            <w:pPr>
              <w:widowControl/>
              <w:kinsoku w:val="0"/>
              <w:autoSpaceDE w:val="0"/>
              <w:autoSpaceDN w:val="0"/>
              <w:adjustRightInd w:val="0"/>
              <w:snapToGrid w:val="0"/>
              <w:spacing w:before="270" w:line="430" w:lineRule="auto"/>
              <w:ind w:left="885" w:right="875"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c>
          <w:tcPr>
            <w:tcW w:w="1705" w:type="dxa"/>
            <w:vAlign w:val="top"/>
          </w:tcPr>
          <w:p w14:paraId="2095B27D">
            <w:pPr>
              <w:widowControl/>
              <w:kinsoku w:val="0"/>
              <w:autoSpaceDE w:val="0"/>
              <w:autoSpaceDN w:val="0"/>
              <w:adjustRightInd w:val="0"/>
              <w:snapToGrid w:val="0"/>
              <w:spacing w:before="270" w:line="430" w:lineRule="auto"/>
              <w:ind w:left="500" w:right="489"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c>
          <w:tcPr>
            <w:tcW w:w="2282" w:type="dxa"/>
            <w:vAlign w:val="top"/>
          </w:tcPr>
          <w:p w14:paraId="4EE0F9C2">
            <w:pPr>
              <w:widowControl/>
              <w:kinsoku w:val="0"/>
              <w:autoSpaceDE w:val="0"/>
              <w:autoSpaceDN w:val="0"/>
              <w:adjustRightInd w:val="0"/>
              <w:snapToGrid w:val="0"/>
              <w:spacing w:before="270" w:line="430" w:lineRule="auto"/>
              <w:ind w:left="789" w:right="777"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c>
          <w:tcPr>
            <w:tcW w:w="2556" w:type="dxa"/>
            <w:vAlign w:val="top"/>
          </w:tcPr>
          <w:p w14:paraId="62AFFB11">
            <w:pPr>
              <w:widowControl/>
              <w:kinsoku w:val="0"/>
              <w:autoSpaceDE w:val="0"/>
              <w:autoSpaceDN w:val="0"/>
              <w:adjustRightInd w:val="0"/>
              <w:snapToGrid w:val="0"/>
              <w:spacing w:before="270" w:line="430" w:lineRule="auto"/>
              <w:ind w:left="926" w:right="914"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r>
      <w:tr w14:paraId="214CD5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Align w:val="top"/>
          </w:tcPr>
          <w:p w14:paraId="67E7F7C1">
            <w:pPr>
              <w:widowControl/>
              <w:kinsoku w:val="0"/>
              <w:autoSpaceDE w:val="0"/>
              <w:autoSpaceDN w:val="0"/>
              <w:adjustRightInd w:val="0"/>
              <w:snapToGrid w:val="0"/>
              <w:spacing w:before="299" w:line="208" w:lineRule="auto"/>
              <w:ind w:left="1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专业检测机构情</w:t>
            </w:r>
          </w:p>
          <w:p w14:paraId="638B2C36">
            <w:pPr>
              <w:kinsoku w:val="0"/>
              <w:autoSpaceDE w:val="0"/>
              <w:autoSpaceDN w:val="0"/>
              <w:adjustRightInd w:val="0"/>
              <w:snapToGrid w:val="0"/>
              <w:spacing w:line="298" w:lineRule="auto"/>
              <w:jc w:val="left"/>
              <w:textAlignment w:val="baseline"/>
              <w:rPr>
                <w:rFonts w:ascii="Arial" w:hAnsi="Arial" w:eastAsia="Arial" w:cs="Arial"/>
                <w:snapToGrid w:val="0"/>
                <w:color w:val="auto"/>
                <w:kern w:val="0"/>
                <w:sz w:val="21"/>
                <w:szCs w:val="21"/>
                <w:highlight w:val="none"/>
                <w:lang w:val="en-US" w:eastAsia="en-US" w:bidi="ar-SA"/>
              </w:rPr>
            </w:pPr>
          </w:p>
          <w:p w14:paraId="6213C680">
            <w:pPr>
              <w:widowControl/>
              <w:kinsoku w:val="0"/>
              <w:autoSpaceDE w:val="0"/>
              <w:autoSpaceDN w:val="0"/>
              <w:adjustRightInd w:val="0"/>
              <w:snapToGrid w:val="0"/>
              <w:spacing w:before="59" w:line="207" w:lineRule="auto"/>
              <w:ind w:left="54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况说明</w:t>
            </w:r>
          </w:p>
        </w:tc>
        <w:tc>
          <w:tcPr>
            <w:tcW w:w="12549" w:type="dxa"/>
            <w:gridSpan w:val="6"/>
            <w:vAlign w:val="top"/>
          </w:tcPr>
          <w:p w14:paraId="2907570F">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7E7705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625" w:type="dxa"/>
            <w:vAlign w:val="top"/>
          </w:tcPr>
          <w:p w14:paraId="1FA1A49A">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1D1F422">
            <w:pPr>
              <w:widowControl/>
              <w:kinsoku w:val="0"/>
              <w:autoSpaceDE w:val="0"/>
              <w:autoSpaceDN w:val="0"/>
              <w:adjustRightInd w:val="0"/>
              <w:snapToGrid w:val="0"/>
              <w:spacing w:before="58" w:line="207"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存在问题</w:t>
            </w:r>
          </w:p>
          <w:p w14:paraId="7F25842C">
            <w:pPr>
              <w:kinsoku w:val="0"/>
              <w:autoSpaceDE w:val="0"/>
              <w:autoSpaceDN w:val="0"/>
              <w:adjustRightInd w:val="0"/>
              <w:snapToGrid w:val="0"/>
              <w:spacing w:line="297" w:lineRule="auto"/>
              <w:jc w:val="left"/>
              <w:textAlignment w:val="baseline"/>
              <w:rPr>
                <w:rFonts w:ascii="Arial" w:hAnsi="Arial" w:eastAsia="Arial" w:cs="Arial"/>
                <w:snapToGrid w:val="0"/>
                <w:color w:val="auto"/>
                <w:kern w:val="0"/>
                <w:sz w:val="21"/>
                <w:szCs w:val="21"/>
                <w:highlight w:val="none"/>
                <w:lang w:val="en-US" w:eastAsia="en-US" w:bidi="ar-SA"/>
              </w:rPr>
            </w:pPr>
          </w:p>
          <w:p w14:paraId="3E823623">
            <w:pPr>
              <w:widowControl/>
              <w:kinsoku w:val="0"/>
              <w:autoSpaceDE w:val="0"/>
              <w:autoSpaceDN w:val="0"/>
              <w:adjustRightInd w:val="0"/>
              <w:snapToGrid w:val="0"/>
              <w:spacing w:before="58" w:line="207" w:lineRule="auto"/>
              <w:ind w:left="36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和改进意见</w:t>
            </w:r>
          </w:p>
        </w:tc>
        <w:tc>
          <w:tcPr>
            <w:tcW w:w="12549" w:type="dxa"/>
            <w:gridSpan w:val="6"/>
            <w:vAlign w:val="top"/>
          </w:tcPr>
          <w:p w14:paraId="00E7B582">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bl>
    <w:p w14:paraId="4BD8F74E">
      <w:pPr>
        <w:widowControl/>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eastAsia="en-US"/>
        </w:rPr>
      </w:pPr>
    </w:p>
    <w:p w14:paraId="38987483">
      <w:pPr>
        <w:rPr>
          <w:rFonts w:ascii="Arial" w:hAnsi="Arial" w:eastAsia="Arial" w:cs="Arial"/>
          <w:color w:val="auto"/>
          <w:sz w:val="21"/>
          <w:szCs w:val="21"/>
          <w:highlight w:val="none"/>
        </w:rPr>
        <w:sectPr>
          <w:footerReference r:id="rId6" w:type="default"/>
          <w:pgSz w:w="16838" w:h="11906"/>
          <w:pgMar w:top="1011" w:right="956" w:bottom="1380" w:left="1459" w:header="0" w:footer="1162" w:gutter="0"/>
          <w:pgBorders>
            <w:top w:val="none" w:sz="0" w:space="0"/>
            <w:left w:val="none" w:sz="0" w:space="0"/>
            <w:bottom w:val="none" w:sz="0" w:space="0"/>
            <w:right w:val="none" w:sz="0" w:space="0"/>
          </w:pgBorders>
          <w:pgNumType w:fmt="decimal"/>
          <w:cols w:space="720" w:num="1"/>
        </w:sectPr>
      </w:pPr>
    </w:p>
    <w:p w14:paraId="37783F95">
      <w:pPr>
        <w:widowControl/>
        <w:kinsoku w:val="0"/>
        <w:autoSpaceDE w:val="0"/>
        <w:autoSpaceDN w:val="0"/>
        <w:adjustRightInd w:val="0"/>
        <w:snapToGrid w:val="0"/>
        <w:spacing w:before="164" w:line="240" w:lineRule="auto"/>
        <w:jc w:val="left"/>
        <w:textAlignment w:val="baseline"/>
        <w:rPr>
          <w:rFonts w:ascii="Arial" w:hAnsi="Arial" w:eastAsia="Arial" w:cs="Arial"/>
          <w:snapToGrid w:val="0"/>
          <w:color w:val="auto"/>
          <w:kern w:val="0"/>
          <w:szCs w:val="21"/>
          <w:highlight w:val="none"/>
          <w:lang w:eastAsia="en-US"/>
        </w:rPr>
      </w:pPr>
    </w:p>
    <w:tbl>
      <w:tblPr>
        <w:tblStyle w:val="23"/>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32116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vAlign w:val="top"/>
          </w:tcPr>
          <w:p w14:paraId="16C3E2F2">
            <w:pPr>
              <w:kinsoku w:val="0"/>
              <w:autoSpaceDE w:val="0"/>
              <w:autoSpaceDN w:val="0"/>
              <w:adjustRightInd w:val="0"/>
              <w:snapToGrid w:val="0"/>
              <w:spacing w:line="301" w:lineRule="auto"/>
              <w:jc w:val="left"/>
              <w:textAlignment w:val="baseline"/>
              <w:rPr>
                <w:rFonts w:ascii="Arial" w:hAnsi="Arial" w:eastAsia="Arial" w:cs="Arial"/>
                <w:snapToGrid w:val="0"/>
                <w:color w:val="auto"/>
                <w:kern w:val="0"/>
                <w:sz w:val="21"/>
                <w:szCs w:val="21"/>
                <w:highlight w:val="none"/>
                <w:lang w:val="en-US" w:eastAsia="en-US" w:bidi="ar-SA"/>
              </w:rPr>
            </w:pPr>
          </w:p>
          <w:p w14:paraId="1C227585">
            <w:pPr>
              <w:widowControl/>
              <w:kinsoku w:val="0"/>
              <w:autoSpaceDE w:val="0"/>
              <w:autoSpaceDN w:val="0"/>
              <w:adjustRightInd w:val="0"/>
              <w:snapToGrid w:val="0"/>
              <w:spacing w:before="58" w:line="207" w:lineRule="auto"/>
              <w:ind w:left="45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最终结论</w:t>
            </w:r>
          </w:p>
        </w:tc>
        <w:tc>
          <w:tcPr>
            <w:tcW w:w="12550" w:type="dxa"/>
            <w:gridSpan w:val="2"/>
            <w:vAlign w:val="top"/>
          </w:tcPr>
          <w:p w14:paraId="27B84222">
            <w:pPr>
              <w:kinsoku w:val="0"/>
              <w:autoSpaceDE w:val="0"/>
              <w:autoSpaceDN w:val="0"/>
              <w:adjustRightInd w:val="0"/>
              <w:snapToGrid w:val="0"/>
              <w:spacing w:line="271" w:lineRule="auto"/>
              <w:jc w:val="left"/>
              <w:textAlignment w:val="baseline"/>
              <w:rPr>
                <w:rFonts w:ascii="Arial" w:hAnsi="Arial" w:eastAsia="Arial" w:cs="Arial"/>
                <w:snapToGrid w:val="0"/>
                <w:color w:val="auto"/>
                <w:kern w:val="0"/>
                <w:sz w:val="21"/>
                <w:szCs w:val="21"/>
                <w:highlight w:val="none"/>
                <w:lang w:val="en-US" w:eastAsia="en-US" w:bidi="ar-SA"/>
              </w:rPr>
            </w:pPr>
          </w:p>
          <w:p w14:paraId="49639E75">
            <w:pPr>
              <w:widowControl/>
              <w:kinsoku w:val="0"/>
              <w:autoSpaceDE w:val="0"/>
              <w:autoSpaceDN w:val="0"/>
              <w:adjustRightInd w:val="0"/>
              <w:snapToGrid w:val="0"/>
              <w:spacing w:before="58" w:line="240" w:lineRule="exact"/>
              <w:ind w:left="421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合  格□</w:t>
            </w:r>
            <w:r>
              <w:rPr>
                <w:rFonts w:ascii="宋体" w:hAnsi="宋体" w:eastAsia="宋体" w:cs="宋体"/>
                <w:snapToGrid w:val="0"/>
                <w:color w:val="auto"/>
                <w:kern w:val="0"/>
                <w:position w:val="1"/>
                <w:sz w:val="18"/>
                <w:szCs w:val="18"/>
                <w:highlight w:val="none"/>
                <w:lang w:eastAsia="en-US"/>
              </w:rPr>
              <w:t xml:space="preserve">                              </w:t>
            </w:r>
            <w:r>
              <w:rPr>
                <w:rFonts w:ascii="宋体" w:hAnsi="宋体" w:eastAsia="宋体" w:cs="宋体"/>
                <w:snapToGrid w:val="0"/>
                <w:color w:val="auto"/>
                <w:spacing w:val="-2"/>
                <w:kern w:val="0"/>
                <w:position w:val="1"/>
                <w:sz w:val="18"/>
                <w:szCs w:val="18"/>
                <w:highlight w:val="none"/>
                <w:lang w:eastAsia="en-US"/>
              </w:rPr>
              <w:t>不合格□</w:t>
            </w:r>
          </w:p>
        </w:tc>
      </w:tr>
      <w:tr w14:paraId="4993A2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vAlign w:val="top"/>
          </w:tcPr>
          <w:p w14:paraId="0BD401A7">
            <w:pPr>
              <w:widowControl/>
              <w:kinsoku w:val="0"/>
              <w:autoSpaceDE w:val="0"/>
              <w:autoSpaceDN w:val="0"/>
              <w:adjustRightInd w:val="0"/>
              <w:snapToGrid w:val="0"/>
              <w:spacing w:before="295" w:line="208" w:lineRule="auto"/>
              <w:ind w:left="27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验收小组成员</w:t>
            </w:r>
          </w:p>
          <w:p w14:paraId="3DE4C46E">
            <w:pPr>
              <w:kinsoku w:val="0"/>
              <w:autoSpaceDE w:val="0"/>
              <w:autoSpaceDN w:val="0"/>
              <w:adjustRightInd w:val="0"/>
              <w:snapToGrid w:val="0"/>
              <w:spacing w:line="298" w:lineRule="auto"/>
              <w:jc w:val="left"/>
              <w:textAlignment w:val="baseline"/>
              <w:rPr>
                <w:rFonts w:ascii="Arial" w:hAnsi="Arial" w:eastAsia="Arial" w:cs="Arial"/>
                <w:snapToGrid w:val="0"/>
                <w:color w:val="auto"/>
                <w:kern w:val="0"/>
                <w:sz w:val="21"/>
                <w:szCs w:val="21"/>
                <w:highlight w:val="none"/>
                <w:lang w:val="en-US" w:eastAsia="en-US" w:bidi="ar-SA"/>
              </w:rPr>
            </w:pPr>
          </w:p>
          <w:p w14:paraId="73108B06">
            <w:pPr>
              <w:widowControl/>
              <w:kinsoku w:val="0"/>
              <w:autoSpaceDE w:val="0"/>
              <w:autoSpaceDN w:val="0"/>
              <w:adjustRightInd w:val="0"/>
              <w:snapToGrid w:val="0"/>
              <w:spacing w:before="58" w:line="208" w:lineRule="auto"/>
              <w:ind w:left="63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sz w:val="18"/>
                <w:szCs w:val="18"/>
                <w:highlight w:val="none"/>
                <w:lang w:eastAsia="en-US"/>
              </w:rPr>
              <w:t>签字</w:t>
            </w:r>
          </w:p>
        </w:tc>
        <w:tc>
          <w:tcPr>
            <w:tcW w:w="12550" w:type="dxa"/>
            <w:gridSpan w:val="2"/>
            <w:vAlign w:val="top"/>
          </w:tcPr>
          <w:p w14:paraId="042480FA">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48F8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vAlign w:val="top"/>
          </w:tcPr>
          <w:p w14:paraId="3D63CB69">
            <w:pPr>
              <w:widowControl/>
              <w:kinsoku w:val="0"/>
              <w:autoSpaceDE w:val="0"/>
              <w:autoSpaceDN w:val="0"/>
              <w:adjustRightInd w:val="0"/>
              <w:snapToGrid w:val="0"/>
              <w:spacing w:before="297" w:line="208" w:lineRule="auto"/>
              <w:ind w:left="281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采购代理机构意见</w:t>
            </w:r>
          </w:p>
        </w:tc>
        <w:tc>
          <w:tcPr>
            <w:tcW w:w="7115" w:type="dxa"/>
            <w:vAlign w:val="top"/>
          </w:tcPr>
          <w:p w14:paraId="24F4E751">
            <w:pPr>
              <w:widowControl/>
              <w:kinsoku w:val="0"/>
              <w:autoSpaceDE w:val="0"/>
              <w:autoSpaceDN w:val="0"/>
              <w:adjustRightInd w:val="0"/>
              <w:snapToGrid w:val="0"/>
              <w:spacing w:before="297" w:line="207" w:lineRule="auto"/>
              <w:ind w:left="311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采购人意见</w:t>
            </w:r>
          </w:p>
        </w:tc>
      </w:tr>
      <w:tr w14:paraId="6F5F7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vAlign w:val="top"/>
          </w:tcPr>
          <w:p w14:paraId="374A7E7C">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661A1F16">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1C94F4F6">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3AB0E751">
            <w:pPr>
              <w:widowControl/>
              <w:kinsoku w:val="0"/>
              <w:autoSpaceDE w:val="0"/>
              <w:autoSpaceDN w:val="0"/>
              <w:adjustRightInd w:val="0"/>
              <w:snapToGrid w:val="0"/>
              <w:spacing w:before="59" w:line="238" w:lineRule="exact"/>
              <w:ind w:left="11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经办人：         负责人</w:t>
            </w:r>
            <w:r>
              <w:rPr>
                <w:rFonts w:ascii="宋体" w:hAnsi="宋体" w:eastAsia="宋体" w:cs="宋体"/>
                <w:snapToGrid w:val="0"/>
                <w:color w:val="auto"/>
                <w:spacing w:val="-18"/>
                <w:kern w:val="0"/>
                <w:position w:val="1"/>
                <w:sz w:val="18"/>
                <w:szCs w:val="18"/>
                <w:highlight w:val="none"/>
                <w:lang w:eastAsia="en-US"/>
              </w:rPr>
              <w:t>：</w:t>
            </w:r>
            <w:r>
              <w:rPr>
                <w:rFonts w:ascii="宋体" w:hAnsi="宋体" w:eastAsia="宋体" w:cs="宋体"/>
                <w:snapToGrid w:val="0"/>
                <w:color w:val="auto"/>
                <w:kern w:val="0"/>
                <w:position w:val="1"/>
                <w:sz w:val="18"/>
                <w:szCs w:val="18"/>
                <w:highlight w:val="none"/>
                <w:lang w:eastAsia="en-US"/>
              </w:rPr>
              <w:t xml:space="preserve">           </w:t>
            </w:r>
            <w:r>
              <w:rPr>
                <w:rFonts w:ascii="宋体" w:hAnsi="宋体" w:eastAsia="宋体" w:cs="宋体"/>
                <w:snapToGrid w:val="0"/>
                <w:color w:val="auto"/>
                <w:spacing w:val="-18"/>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采购代理机构公章）</w:t>
            </w:r>
          </w:p>
        </w:tc>
        <w:tc>
          <w:tcPr>
            <w:tcW w:w="7115" w:type="dxa"/>
            <w:vAlign w:val="top"/>
          </w:tcPr>
          <w:p w14:paraId="7A077473">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48F7999F">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679833E2">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4E589F13">
            <w:pPr>
              <w:widowControl/>
              <w:kinsoku w:val="0"/>
              <w:autoSpaceDE w:val="0"/>
              <w:autoSpaceDN w:val="0"/>
              <w:adjustRightInd w:val="0"/>
              <w:snapToGrid w:val="0"/>
              <w:spacing w:before="59" w:line="238" w:lineRule="exact"/>
              <w:ind w:left="11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经办人：         负责人</w:t>
            </w:r>
            <w:r>
              <w:rPr>
                <w:rFonts w:ascii="宋体" w:hAnsi="宋体" w:eastAsia="宋体" w:cs="宋体"/>
                <w:snapToGrid w:val="0"/>
                <w:color w:val="auto"/>
                <w:spacing w:val="-17"/>
                <w:kern w:val="0"/>
                <w:position w:val="1"/>
                <w:sz w:val="18"/>
                <w:szCs w:val="18"/>
                <w:highlight w:val="none"/>
                <w:lang w:eastAsia="en-US"/>
              </w:rPr>
              <w:t>：</w:t>
            </w:r>
            <w:r>
              <w:rPr>
                <w:rFonts w:ascii="宋体" w:hAnsi="宋体" w:eastAsia="宋体" w:cs="宋体"/>
                <w:snapToGrid w:val="0"/>
                <w:color w:val="auto"/>
                <w:kern w:val="0"/>
                <w:position w:val="1"/>
                <w:sz w:val="18"/>
                <w:szCs w:val="18"/>
                <w:highlight w:val="none"/>
                <w:lang w:eastAsia="en-US"/>
              </w:rPr>
              <w:t xml:space="preserve">               </w:t>
            </w:r>
            <w:r>
              <w:rPr>
                <w:rFonts w:ascii="宋体" w:hAnsi="宋体" w:eastAsia="宋体" w:cs="宋体"/>
                <w:snapToGrid w:val="0"/>
                <w:color w:val="auto"/>
                <w:spacing w:val="-17"/>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采购人公章）</w:t>
            </w:r>
          </w:p>
        </w:tc>
      </w:tr>
      <w:tr w14:paraId="35174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vAlign w:val="top"/>
          </w:tcPr>
          <w:p w14:paraId="71E1C70E">
            <w:pPr>
              <w:widowControl/>
              <w:kinsoku w:val="0"/>
              <w:autoSpaceDE w:val="0"/>
              <w:autoSpaceDN w:val="0"/>
              <w:adjustRightInd w:val="0"/>
              <w:snapToGrid w:val="0"/>
              <w:spacing w:before="299" w:line="207" w:lineRule="auto"/>
              <w:ind w:left="11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供应商确认：</w:t>
            </w:r>
          </w:p>
          <w:p w14:paraId="68308867">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1"/>
                <w:szCs w:val="21"/>
                <w:highlight w:val="none"/>
                <w:lang w:val="en-US" w:eastAsia="en-US" w:bidi="ar-SA"/>
              </w:rPr>
            </w:pPr>
          </w:p>
          <w:p w14:paraId="01DE0909">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1"/>
                <w:szCs w:val="21"/>
                <w:highlight w:val="none"/>
                <w:lang w:val="en-US" w:eastAsia="en-US" w:bidi="ar-SA"/>
              </w:rPr>
            </w:pPr>
          </w:p>
          <w:p w14:paraId="47FDCEC5">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1"/>
                <w:szCs w:val="21"/>
                <w:highlight w:val="none"/>
                <w:lang w:val="en-US" w:eastAsia="en-US" w:bidi="ar-SA"/>
              </w:rPr>
            </w:pPr>
          </w:p>
          <w:p w14:paraId="148EE30E">
            <w:pPr>
              <w:widowControl/>
              <w:kinsoku w:val="0"/>
              <w:autoSpaceDE w:val="0"/>
              <w:autoSpaceDN w:val="0"/>
              <w:adjustRightInd w:val="0"/>
              <w:snapToGrid w:val="0"/>
              <w:spacing w:before="58" w:line="239" w:lineRule="exact"/>
              <w:ind w:left="11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（单位公章或授权代表签字）</w:t>
            </w:r>
          </w:p>
        </w:tc>
      </w:tr>
    </w:tbl>
    <w:p w14:paraId="45338945">
      <w:pPr>
        <w:widowControl/>
        <w:kinsoku w:val="0"/>
        <w:autoSpaceDE w:val="0"/>
        <w:autoSpaceDN w:val="0"/>
        <w:adjustRightInd w:val="0"/>
        <w:snapToGrid w:val="0"/>
        <w:spacing w:before="296" w:line="211" w:lineRule="auto"/>
        <w:ind w:left="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kern w:val="0"/>
          <w:sz w:val="18"/>
          <w:szCs w:val="18"/>
          <w:highlight w:val="none"/>
          <w:lang w:eastAsia="en-US"/>
        </w:rPr>
        <w:t>说明：1.该表为服务类项目履约验收的参考样表，采购人或采购代理机构可以</w:t>
      </w:r>
      <w:r>
        <w:rPr>
          <w:rFonts w:ascii="宋体" w:hAnsi="宋体" w:eastAsia="宋体" w:cs="宋体"/>
          <w:snapToGrid w:val="0"/>
          <w:color w:val="auto"/>
          <w:spacing w:val="-1"/>
          <w:kern w:val="0"/>
          <w:sz w:val="18"/>
          <w:szCs w:val="18"/>
          <w:highlight w:val="none"/>
          <w:lang w:eastAsia="en-US"/>
        </w:rPr>
        <w:t>根据工作实际进行调整。</w:t>
      </w:r>
    </w:p>
    <w:p w14:paraId="17CA4654">
      <w:pPr>
        <w:widowControl/>
        <w:kinsoku w:val="0"/>
        <w:autoSpaceDE w:val="0"/>
        <w:autoSpaceDN w:val="0"/>
        <w:adjustRightInd w:val="0"/>
        <w:snapToGrid w:val="0"/>
        <w:spacing w:line="295" w:lineRule="auto"/>
        <w:jc w:val="left"/>
        <w:textAlignment w:val="baseline"/>
        <w:rPr>
          <w:rFonts w:ascii="Arial" w:hAnsi="Arial" w:eastAsia="Arial" w:cs="Arial"/>
          <w:snapToGrid w:val="0"/>
          <w:color w:val="auto"/>
          <w:kern w:val="0"/>
          <w:sz w:val="21"/>
          <w:szCs w:val="21"/>
          <w:highlight w:val="none"/>
          <w:lang w:eastAsia="en-US"/>
        </w:rPr>
      </w:pPr>
    </w:p>
    <w:p w14:paraId="0D3473A1">
      <w:pPr>
        <w:widowControl/>
        <w:numPr>
          <w:ilvl w:val="0"/>
          <w:numId w:val="3"/>
        </w:numPr>
        <w:kinsoku w:val="0"/>
        <w:autoSpaceDE w:val="0"/>
        <w:autoSpaceDN w:val="0"/>
        <w:adjustRightInd w:val="0"/>
        <w:snapToGrid w:val="0"/>
        <w:spacing w:before="59" w:line="211" w:lineRule="auto"/>
        <w:ind w:left="625"/>
        <w:jc w:val="left"/>
        <w:textAlignment w:val="baseline"/>
        <w:rPr>
          <w:rFonts w:ascii="宋体" w:hAnsi="宋体" w:eastAsia="宋体" w:cs="宋体"/>
          <w:snapToGrid w:val="0"/>
          <w:color w:val="auto"/>
          <w:spacing w:val="-1"/>
          <w:kern w:val="0"/>
          <w:sz w:val="18"/>
          <w:szCs w:val="18"/>
          <w:highlight w:val="none"/>
          <w:lang w:eastAsia="en-US"/>
        </w:rPr>
      </w:pPr>
      <w:r>
        <w:rPr>
          <w:rFonts w:ascii="宋体" w:hAnsi="宋体" w:eastAsia="宋体" w:cs="宋体"/>
          <w:snapToGrid w:val="0"/>
          <w:color w:val="auto"/>
          <w:kern w:val="0"/>
          <w:sz w:val="18"/>
          <w:szCs w:val="18"/>
          <w:highlight w:val="none"/>
          <w:lang w:eastAsia="en-US"/>
        </w:rPr>
        <w:t>未委托采购代理机构开展履约验收工作的，无需填写“</w:t>
      </w:r>
      <w:r>
        <w:rPr>
          <w:rFonts w:ascii="宋体" w:hAnsi="宋体" w:eastAsia="宋体" w:cs="宋体"/>
          <w:snapToGrid w:val="0"/>
          <w:color w:val="auto"/>
          <w:spacing w:val="-1"/>
          <w:kern w:val="0"/>
          <w:sz w:val="18"/>
          <w:szCs w:val="18"/>
          <w:highlight w:val="none"/>
          <w:lang w:eastAsia="en-US"/>
        </w:rPr>
        <w:t>采购代理机构意见</w:t>
      </w:r>
      <w:r>
        <w:rPr>
          <w:rFonts w:ascii="宋体" w:hAnsi="宋体" w:eastAsia="宋体" w:cs="宋体"/>
          <w:snapToGrid w:val="0"/>
          <w:color w:val="auto"/>
          <w:spacing w:val="-66"/>
          <w:kern w:val="0"/>
          <w:sz w:val="18"/>
          <w:szCs w:val="18"/>
          <w:highlight w:val="none"/>
          <w:lang w:eastAsia="en-US"/>
        </w:rPr>
        <w:t xml:space="preserve"> </w:t>
      </w:r>
      <w:r>
        <w:rPr>
          <w:rFonts w:ascii="宋体" w:hAnsi="宋体" w:eastAsia="宋体" w:cs="宋体"/>
          <w:snapToGrid w:val="0"/>
          <w:color w:val="auto"/>
          <w:spacing w:val="-1"/>
          <w:kern w:val="0"/>
          <w:sz w:val="18"/>
          <w:szCs w:val="18"/>
          <w:highlight w:val="none"/>
          <w:lang w:eastAsia="en-US"/>
        </w:rPr>
        <w:t>”。</w:t>
      </w:r>
    </w:p>
    <w:p w14:paraId="2A585E19">
      <w:pPr>
        <w:keepNext w:val="0"/>
        <w:keepLines w:val="0"/>
        <w:pageBreakBefore w:val="0"/>
        <w:widowControl/>
        <w:wordWrap/>
        <w:overflowPunct/>
        <w:topLinePunct w:val="0"/>
        <w:bidi w:val="0"/>
        <w:spacing w:after="0" w:line="360" w:lineRule="auto"/>
        <w:ind w:right="0" w:rightChars="0"/>
        <w:jc w:val="left"/>
        <w:rPr>
          <w:rFonts w:hint="eastAsia" w:ascii="宋体" w:hAnsi="宋体" w:eastAsia="宋体" w:cs="微软雅黑"/>
          <w:color w:val="auto"/>
          <w:kern w:val="0"/>
          <w:sz w:val="24"/>
          <w:szCs w:val="24"/>
          <w:highlight w:val="none"/>
          <w:lang w:eastAsia="zh-CN"/>
        </w:rPr>
        <w:sectPr>
          <w:footerReference r:id="rId8" w:type="first"/>
          <w:footerReference r:id="rId7" w:type="default"/>
          <w:pgSz w:w="16838" w:h="11906" w:orient="landscape"/>
          <w:pgMar w:top="1191" w:right="1191" w:bottom="1191" w:left="1191"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953B557">
      <w:pPr>
        <w:spacing w:line="360" w:lineRule="auto"/>
        <w:jc w:val="center"/>
        <w:rPr>
          <w:rFonts w:ascii="宋体"/>
          <w:b/>
          <w:color w:val="auto"/>
          <w:sz w:val="44"/>
          <w:szCs w:val="44"/>
          <w:highlight w:val="none"/>
        </w:rPr>
      </w:pPr>
      <w:r>
        <w:rPr>
          <w:rFonts w:hint="eastAsia" w:ascii="宋体"/>
          <w:b/>
          <w:color w:val="auto"/>
          <w:sz w:val="44"/>
          <w:szCs w:val="44"/>
          <w:highlight w:val="none"/>
        </w:rPr>
        <w:t>第四部分 投标文件格式</w:t>
      </w:r>
    </w:p>
    <w:p w14:paraId="5A9B3F87">
      <w:pPr>
        <w:overflowPunct w:val="0"/>
        <w:adjustRightInd w:val="0"/>
        <w:spacing w:line="360" w:lineRule="auto"/>
        <w:jc w:val="left"/>
        <w:rPr>
          <w:rFonts w:ascii="宋体" w:hAnsi="宋体"/>
          <w:b/>
          <w:color w:val="auto"/>
          <w:sz w:val="24"/>
          <w:highlight w:val="none"/>
        </w:rPr>
      </w:pPr>
    </w:p>
    <w:p w14:paraId="1D60D084">
      <w:pPr>
        <w:rPr>
          <w:color w:val="auto"/>
          <w:highlight w:val="none"/>
        </w:rPr>
      </w:pPr>
    </w:p>
    <w:p w14:paraId="3B9EA52D">
      <w:pPr>
        <w:overflowPunct w:val="0"/>
        <w:adjustRightInd w:val="0"/>
        <w:spacing w:line="360" w:lineRule="auto"/>
        <w:jc w:val="left"/>
        <w:rPr>
          <w:rFonts w:ascii="宋体" w:hAnsi="宋体"/>
          <w:color w:val="auto"/>
          <w:sz w:val="24"/>
          <w:highlight w:val="none"/>
        </w:rPr>
      </w:pPr>
      <w:r>
        <w:rPr>
          <w:rFonts w:hint="eastAsia" w:ascii="宋体" w:hAnsi="宋体"/>
          <w:color w:val="auto"/>
          <w:sz w:val="24"/>
          <w:highlight w:val="none"/>
        </w:rPr>
        <w:t>说明：</w:t>
      </w:r>
    </w:p>
    <w:p w14:paraId="05BC5543">
      <w:pPr>
        <w:overflowPunct w:val="0"/>
        <w:adjustRightInd w:val="0"/>
        <w:spacing w:line="360" w:lineRule="auto"/>
        <w:jc w:val="lef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对本章所有的投标书格式</w:t>
      </w:r>
      <w:r>
        <w:rPr>
          <w:rFonts w:ascii="宋体" w:hAnsi="宋体"/>
          <w:color w:val="auto"/>
          <w:sz w:val="24"/>
          <w:highlight w:val="none"/>
        </w:rPr>
        <w:t>，投标方可根据自身情况进行补充和修改，但补充和修改不得造成与本格式内容有实质性的违背。</w:t>
      </w:r>
    </w:p>
    <w:p w14:paraId="2815590F">
      <w:pPr>
        <w:overflowPunct w:val="0"/>
        <w:adjustRightInd w:val="0"/>
        <w:jc w:val="left"/>
        <w:rPr>
          <w:rFonts w:ascii="宋体" w:hAnsi="宋体"/>
          <w:b/>
          <w:color w:val="auto"/>
          <w:sz w:val="28"/>
          <w:highlight w:val="none"/>
        </w:rPr>
      </w:pPr>
    </w:p>
    <w:p w14:paraId="5A3C33F6">
      <w:pPr>
        <w:rPr>
          <w:b/>
          <w:color w:val="auto"/>
          <w:sz w:val="44"/>
          <w:szCs w:val="44"/>
          <w:highlight w:val="none"/>
        </w:rPr>
      </w:pPr>
      <w:r>
        <w:rPr>
          <w:b/>
          <w:color w:val="auto"/>
          <w:sz w:val="44"/>
          <w:szCs w:val="44"/>
          <w:highlight w:val="none"/>
        </w:rPr>
        <w:t>封面：</w:t>
      </w:r>
    </w:p>
    <w:p w14:paraId="50ABCB70">
      <w:pPr>
        <w:jc w:val="center"/>
        <w:rPr>
          <w:b/>
          <w:color w:val="auto"/>
          <w:sz w:val="72"/>
          <w:szCs w:val="72"/>
          <w:highlight w:val="none"/>
        </w:rPr>
      </w:pPr>
      <w:r>
        <w:rPr>
          <w:rFonts w:hint="eastAsia"/>
          <w:b/>
          <w:color w:val="auto"/>
          <w:sz w:val="72"/>
          <w:szCs w:val="72"/>
          <w:highlight w:val="none"/>
        </w:rPr>
        <w:t xml:space="preserve">             </w:t>
      </w:r>
      <w:r>
        <w:rPr>
          <w:rFonts w:hint="eastAsia" w:ascii="黑体" w:hAnsi="宋体" w:eastAsia="黑体"/>
          <w:color w:val="auto"/>
          <w:sz w:val="36"/>
          <w:highlight w:val="none"/>
        </w:rPr>
        <w:t>【正(副)本】</w:t>
      </w:r>
    </w:p>
    <w:p w14:paraId="529367D2">
      <w:pPr>
        <w:jc w:val="center"/>
        <w:rPr>
          <w:b/>
          <w:color w:val="auto"/>
          <w:sz w:val="72"/>
          <w:szCs w:val="72"/>
          <w:highlight w:val="none"/>
        </w:rPr>
      </w:pPr>
    </w:p>
    <w:p w14:paraId="3BB8B8A1">
      <w:pPr>
        <w:jc w:val="center"/>
        <w:rPr>
          <w:b/>
          <w:color w:val="auto"/>
          <w:sz w:val="72"/>
          <w:szCs w:val="72"/>
          <w:highlight w:val="none"/>
        </w:rPr>
      </w:pPr>
      <w:r>
        <w:rPr>
          <w:b/>
          <w:color w:val="auto"/>
          <w:sz w:val="72"/>
          <w:szCs w:val="72"/>
          <w:highlight w:val="none"/>
        </w:rPr>
        <w:t>投   标   文   件</w:t>
      </w:r>
    </w:p>
    <w:p w14:paraId="4B889CA6">
      <w:pPr>
        <w:rPr>
          <w:b/>
          <w:color w:val="auto"/>
          <w:sz w:val="36"/>
          <w:szCs w:val="36"/>
          <w:highlight w:val="none"/>
        </w:rPr>
      </w:pPr>
    </w:p>
    <w:p w14:paraId="66DD6D8A">
      <w:pPr>
        <w:spacing w:line="360" w:lineRule="auto"/>
        <w:rPr>
          <w:rFonts w:hint="eastAsia" w:ascii="宋体" w:hAnsi="宋体"/>
          <w:b/>
          <w:color w:val="auto"/>
          <w:sz w:val="32"/>
          <w:szCs w:val="32"/>
          <w:highlight w:val="none"/>
          <w:lang w:eastAsia="zh-CN"/>
        </w:rPr>
      </w:pPr>
      <w:r>
        <w:rPr>
          <w:rFonts w:hint="eastAsia"/>
          <w:b/>
          <w:color w:val="auto"/>
          <w:sz w:val="36"/>
          <w:szCs w:val="36"/>
          <w:highlight w:val="none"/>
        </w:rPr>
        <w:t>采购单位：</w:t>
      </w:r>
      <w:r>
        <w:rPr>
          <w:rFonts w:hint="eastAsia" w:ascii="宋体" w:hAnsi="宋体"/>
          <w:b/>
          <w:color w:val="auto"/>
          <w:sz w:val="32"/>
          <w:szCs w:val="32"/>
          <w:highlight w:val="none"/>
          <w:lang w:eastAsia="zh-CN"/>
        </w:rPr>
        <w:t>太仓港经济技术开发区管理委员会</w:t>
      </w:r>
    </w:p>
    <w:p w14:paraId="13AA99FC">
      <w:pPr>
        <w:spacing w:line="360" w:lineRule="auto"/>
        <w:rPr>
          <w:rFonts w:hint="eastAsia" w:ascii="宋体" w:hAnsi="宋体" w:eastAsia="宋体" w:cs="宋体"/>
          <w:b/>
          <w:bCs/>
          <w:color w:val="auto"/>
          <w:sz w:val="36"/>
          <w:szCs w:val="36"/>
          <w:highlight w:val="none"/>
          <w:shd w:val="clear" w:color="auto" w:fill="FFFFFF"/>
          <w:lang w:eastAsia="zh-CN" w:bidi="ar"/>
        </w:rPr>
      </w:pPr>
      <w:r>
        <w:rPr>
          <w:b/>
          <w:color w:val="auto"/>
          <w:sz w:val="36"/>
          <w:szCs w:val="36"/>
          <w:highlight w:val="none"/>
        </w:rPr>
        <w:t>项目名称：</w:t>
      </w:r>
      <w:r>
        <w:rPr>
          <w:rFonts w:hint="eastAsia" w:ascii="宋体" w:hAnsi="宋体"/>
          <w:b/>
          <w:color w:val="auto"/>
          <w:sz w:val="32"/>
          <w:szCs w:val="32"/>
          <w:highlight w:val="none"/>
          <w:lang w:eastAsia="zh-CN"/>
        </w:rPr>
        <w:t>2026年度港区建设项目环评和危废发证技术评估</w:t>
      </w:r>
    </w:p>
    <w:p w14:paraId="0EC14B7E">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宋体"/>
          <w:color w:val="auto"/>
          <w:sz w:val="24"/>
          <w:szCs w:val="24"/>
          <w:highlight w:val="none"/>
        </w:rPr>
      </w:pPr>
      <w:r>
        <w:rPr>
          <w:rFonts w:hint="eastAsia"/>
          <w:b/>
          <w:color w:val="auto"/>
          <w:sz w:val="36"/>
          <w:szCs w:val="36"/>
          <w:highlight w:val="none"/>
        </w:rPr>
        <w:t>项目编号：</w:t>
      </w:r>
      <w:r>
        <w:rPr>
          <w:rFonts w:hint="eastAsia" w:cs="Times New Roman"/>
          <w:b/>
          <w:color w:val="auto"/>
          <w:sz w:val="36"/>
          <w:szCs w:val="36"/>
          <w:highlight w:val="none"/>
          <w:lang w:eastAsia="zh-CN"/>
        </w:rPr>
        <w:t>JSZC-320585-JSQY-G2025-0015</w:t>
      </w:r>
    </w:p>
    <w:p w14:paraId="1ADDE9D0">
      <w:pPr>
        <w:snapToGrid w:val="0"/>
        <w:spacing w:line="360" w:lineRule="auto"/>
        <w:rPr>
          <w:rFonts w:ascii="Times New Roman" w:hAnsi="Times New Roman" w:eastAsia="宋体" w:cs="Times New Roman"/>
          <w:color w:val="auto"/>
          <w:sz w:val="36"/>
          <w:szCs w:val="36"/>
          <w:highlight w:val="none"/>
        </w:rPr>
      </w:pPr>
      <w:r>
        <w:rPr>
          <w:rFonts w:hint="eastAsia" w:ascii="Times New Roman" w:hAnsi="Times New Roman" w:eastAsia="宋体" w:cs="Times New Roman"/>
          <w:b/>
          <w:bCs/>
          <w:color w:val="auto"/>
          <w:sz w:val="36"/>
          <w:szCs w:val="36"/>
          <w:highlight w:val="none"/>
        </w:rPr>
        <w:t>标段号：（）标段</w:t>
      </w:r>
    </w:p>
    <w:p w14:paraId="71A11773">
      <w:pPr>
        <w:rPr>
          <w:rFonts w:hint="default" w:eastAsia="宋体"/>
          <w:b/>
          <w:color w:val="auto"/>
          <w:sz w:val="36"/>
          <w:szCs w:val="36"/>
          <w:highlight w:val="none"/>
          <w:lang w:val="en-US" w:eastAsia="zh-CN"/>
        </w:rPr>
      </w:pPr>
    </w:p>
    <w:p w14:paraId="04E9E1FB">
      <w:pPr>
        <w:rPr>
          <w:color w:val="auto"/>
          <w:sz w:val="36"/>
          <w:szCs w:val="36"/>
          <w:highlight w:val="none"/>
        </w:rPr>
      </w:pPr>
    </w:p>
    <w:p w14:paraId="3E6A861E">
      <w:pPr>
        <w:rPr>
          <w:rFonts w:ascii="宋体" w:hAnsi="宋体"/>
          <w:color w:val="auto"/>
          <w:sz w:val="32"/>
          <w:highlight w:val="none"/>
          <w:u w:val="single"/>
        </w:rPr>
      </w:pPr>
      <w:r>
        <w:rPr>
          <w:b/>
          <w:color w:val="auto"/>
          <w:sz w:val="36"/>
          <w:szCs w:val="36"/>
          <w:highlight w:val="none"/>
        </w:rPr>
        <w:t>投 标 人</w:t>
      </w:r>
      <w:r>
        <w:rPr>
          <w:rFonts w:hint="eastAsia"/>
          <w:b/>
          <w:color w:val="auto"/>
          <w:sz w:val="36"/>
          <w:szCs w:val="36"/>
          <w:highlight w:val="none"/>
        </w:rPr>
        <w:t>(盖章)</w:t>
      </w:r>
      <w:r>
        <w:rPr>
          <w:b/>
          <w:color w:val="auto"/>
          <w:sz w:val="36"/>
          <w:szCs w:val="36"/>
          <w:highlight w:val="none"/>
        </w:rPr>
        <w:t>：</w:t>
      </w:r>
      <w:r>
        <w:rPr>
          <w:rFonts w:hint="eastAsia" w:ascii="宋体" w:hAnsi="宋体"/>
          <w:color w:val="auto"/>
          <w:sz w:val="32"/>
          <w:highlight w:val="none"/>
          <w:u w:val="single"/>
        </w:rPr>
        <w:t xml:space="preserve">                                      </w:t>
      </w:r>
    </w:p>
    <w:p w14:paraId="34523372">
      <w:pPr>
        <w:spacing w:line="720" w:lineRule="auto"/>
        <w:rPr>
          <w:rFonts w:ascii="宋体" w:hAnsi="宋体"/>
          <w:color w:val="auto"/>
          <w:sz w:val="32"/>
          <w:highlight w:val="none"/>
          <w:u w:val="single"/>
        </w:rPr>
      </w:pPr>
      <w:r>
        <w:rPr>
          <w:rFonts w:hint="eastAsia"/>
          <w:b/>
          <w:color w:val="auto"/>
          <w:sz w:val="36"/>
          <w:szCs w:val="36"/>
          <w:highlight w:val="none"/>
        </w:rPr>
        <w:t>法定代表人或其委托代理人：</w:t>
      </w:r>
      <w:r>
        <w:rPr>
          <w:rFonts w:hint="eastAsia" w:ascii="宋体" w:hAnsi="宋体"/>
          <w:color w:val="auto"/>
          <w:sz w:val="32"/>
          <w:highlight w:val="none"/>
          <w:u w:val="single"/>
        </w:rPr>
        <w:t xml:space="preserve">      （签字或盖章）</w:t>
      </w:r>
    </w:p>
    <w:p w14:paraId="37F61063">
      <w:pPr>
        <w:ind w:firstLine="2530" w:firstLineChars="700"/>
        <w:rPr>
          <w:b/>
          <w:color w:val="auto"/>
          <w:sz w:val="36"/>
          <w:szCs w:val="36"/>
          <w:highlight w:val="none"/>
        </w:rPr>
      </w:pPr>
    </w:p>
    <w:p w14:paraId="4AF5F43D">
      <w:pPr>
        <w:rPr>
          <w:b/>
          <w:color w:val="auto"/>
          <w:sz w:val="36"/>
          <w:szCs w:val="36"/>
          <w:highlight w:val="none"/>
        </w:rPr>
      </w:pPr>
    </w:p>
    <w:p w14:paraId="7D66AEB2">
      <w:pPr>
        <w:spacing w:line="440" w:lineRule="exact"/>
        <w:ind w:firstLine="542" w:firstLineChars="150"/>
        <w:jc w:val="center"/>
        <w:rPr>
          <w:b/>
          <w:color w:val="auto"/>
          <w:sz w:val="36"/>
          <w:szCs w:val="36"/>
          <w:highlight w:val="none"/>
        </w:rPr>
      </w:pPr>
      <w:r>
        <w:rPr>
          <w:b/>
          <w:color w:val="auto"/>
          <w:sz w:val="36"/>
          <w:szCs w:val="36"/>
          <w:highlight w:val="none"/>
        </w:rPr>
        <w:t>日期：</w:t>
      </w:r>
      <w:r>
        <w:rPr>
          <w:rFonts w:hint="eastAsia"/>
          <w:b/>
          <w:color w:val="auto"/>
          <w:sz w:val="36"/>
          <w:szCs w:val="36"/>
          <w:highlight w:val="none"/>
        </w:rPr>
        <w:t xml:space="preserve">   </w:t>
      </w:r>
      <w:r>
        <w:rPr>
          <w:b/>
          <w:color w:val="auto"/>
          <w:sz w:val="36"/>
          <w:szCs w:val="36"/>
          <w:highlight w:val="none"/>
        </w:rPr>
        <w:t>年</w:t>
      </w:r>
      <w:r>
        <w:rPr>
          <w:rFonts w:hint="eastAsia"/>
          <w:b/>
          <w:color w:val="auto"/>
          <w:sz w:val="36"/>
          <w:szCs w:val="36"/>
          <w:highlight w:val="none"/>
        </w:rPr>
        <w:t xml:space="preserve">   </w:t>
      </w:r>
      <w:r>
        <w:rPr>
          <w:b/>
          <w:color w:val="auto"/>
          <w:sz w:val="36"/>
          <w:szCs w:val="36"/>
          <w:highlight w:val="none"/>
        </w:rPr>
        <w:t>月</w:t>
      </w:r>
      <w:r>
        <w:rPr>
          <w:rFonts w:hint="eastAsia"/>
          <w:b/>
          <w:color w:val="auto"/>
          <w:sz w:val="36"/>
          <w:szCs w:val="36"/>
          <w:highlight w:val="none"/>
        </w:rPr>
        <w:t xml:space="preserve">   日</w:t>
      </w:r>
    </w:p>
    <w:p w14:paraId="5D18EB73">
      <w:pPr>
        <w:rPr>
          <w:rFonts w:ascii="宋体" w:hAnsi="宋体"/>
          <w:b/>
          <w:color w:val="auto"/>
          <w:sz w:val="32"/>
          <w:szCs w:val="32"/>
          <w:highlight w:val="none"/>
        </w:rPr>
      </w:pPr>
      <w:r>
        <w:rPr>
          <w:b/>
          <w:color w:val="auto"/>
          <w:sz w:val="36"/>
          <w:szCs w:val="36"/>
          <w:highlight w:val="none"/>
        </w:rPr>
        <w:br w:type="page"/>
      </w:r>
      <w:bookmarkStart w:id="10" w:name="_Toc430265233"/>
      <w:bookmarkStart w:id="11" w:name="_Toc322442932"/>
      <w:bookmarkStart w:id="12" w:name="_Toc405288080"/>
      <w:bookmarkStart w:id="13" w:name="_Toc467507054"/>
      <w:bookmarkStart w:id="14" w:name="_Toc467507044"/>
      <w:r>
        <w:rPr>
          <w:rFonts w:hint="eastAsia" w:ascii="宋体" w:hAnsi="宋体"/>
          <w:b/>
          <w:color w:val="auto"/>
          <w:sz w:val="32"/>
          <w:szCs w:val="32"/>
          <w:highlight w:val="none"/>
        </w:rPr>
        <w:t>1、法定代表人授权委托书</w:t>
      </w:r>
    </w:p>
    <w:p w14:paraId="24ED05C5">
      <w:pPr>
        <w:overflowPunct w:val="0"/>
        <w:adjustRightInd w:val="0"/>
        <w:jc w:val="left"/>
        <w:textAlignment w:val="baseline"/>
        <w:rPr>
          <w:rFonts w:ascii="宋体" w:hAnsi="宋体"/>
          <w:color w:val="auto"/>
          <w:sz w:val="24"/>
          <w:highlight w:val="none"/>
        </w:rPr>
      </w:pPr>
    </w:p>
    <w:p w14:paraId="7E1DB211">
      <w:pPr>
        <w:overflowPunct w:val="0"/>
        <w:adjustRightInd w:val="0"/>
        <w:ind w:firstLine="420"/>
        <w:jc w:val="center"/>
        <w:textAlignment w:val="baseline"/>
        <w:rPr>
          <w:rFonts w:ascii="宋体" w:hAnsi="宋体"/>
          <w:color w:val="auto"/>
          <w:sz w:val="24"/>
          <w:highlight w:val="none"/>
        </w:rPr>
      </w:pPr>
    </w:p>
    <w:p w14:paraId="59EEE1D5">
      <w:pPr>
        <w:overflowPunct w:val="0"/>
        <w:adjustRightInd w:val="0"/>
        <w:ind w:firstLine="420"/>
        <w:jc w:val="center"/>
        <w:textAlignment w:val="baseline"/>
        <w:rPr>
          <w:rFonts w:ascii="宋体" w:hAnsi="宋体"/>
          <w:color w:val="auto"/>
          <w:sz w:val="32"/>
          <w:szCs w:val="32"/>
          <w:highlight w:val="none"/>
        </w:rPr>
      </w:pPr>
      <w:r>
        <w:rPr>
          <w:rFonts w:hint="eastAsia" w:ascii="宋体" w:hAnsi="宋体"/>
          <w:color w:val="auto"/>
          <w:sz w:val="32"/>
          <w:szCs w:val="32"/>
          <w:highlight w:val="none"/>
        </w:rPr>
        <w:t>授权委托书</w:t>
      </w:r>
    </w:p>
    <w:p w14:paraId="51CC5936">
      <w:pPr>
        <w:overflowPunct w:val="0"/>
        <w:adjustRightInd w:val="0"/>
        <w:ind w:firstLine="420"/>
        <w:jc w:val="left"/>
        <w:textAlignment w:val="baseline"/>
        <w:rPr>
          <w:rFonts w:ascii="宋体" w:hAnsi="宋体"/>
          <w:color w:val="auto"/>
          <w:sz w:val="24"/>
          <w:highlight w:val="none"/>
        </w:rPr>
      </w:pPr>
    </w:p>
    <w:p w14:paraId="0854A3C5">
      <w:pPr>
        <w:overflowPunct w:val="0"/>
        <w:adjustRightInd w:val="0"/>
        <w:ind w:firstLine="420"/>
        <w:jc w:val="left"/>
        <w:textAlignment w:val="baseline"/>
        <w:rPr>
          <w:rFonts w:ascii="宋体" w:hAnsi="宋体"/>
          <w:color w:val="auto"/>
          <w:sz w:val="24"/>
          <w:highlight w:val="none"/>
        </w:rPr>
      </w:pPr>
    </w:p>
    <w:p w14:paraId="4D619E0E">
      <w:pPr>
        <w:overflowPunct w:val="0"/>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本授权委托书声明：</w:t>
      </w:r>
      <w:r>
        <w:rPr>
          <w:rFonts w:ascii="宋体" w:hAnsi="宋体"/>
          <w:color w:val="auto"/>
          <w:sz w:val="24"/>
          <w:highlight w:val="none"/>
        </w:rPr>
        <w:t xml:space="preserve">  </w:t>
      </w:r>
      <w:r>
        <w:rPr>
          <w:rFonts w:hint="eastAsia" w:ascii="宋体" w:hAnsi="宋体"/>
          <w:color w:val="auto"/>
          <w:sz w:val="24"/>
          <w:highlight w:val="none"/>
        </w:rPr>
        <w:t>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（姓名）系</w:t>
      </w:r>
      <w:r>
        <w:rPr>
          <w:rFonts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hint="eastAsia" w:ascii="宋体" w:hAnsi="宋体"/>
          <w:color w:val="auto"/>
          <w:sz w:val="24"/>
          <w:highlight w:val="none"/>
        </w:rPr>
        <w:t>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江苏启越工程管理有限公司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组织实施的编号为</w:t>
      </w:r>
      <w:r>
        <w:rPr>
          <w:rFonts w:hint="eastAsia" w:ascii="宋体" w:hAnsi="宋体"/>
          <w:color w:val="auto"/>
          <w:sz w:val="24"/>
          <w:highlight w:val="none"/>
          <w:lang w:val="en-US" w:eastAsia="zh-CN"/>
        </w:rPr>
        <w:t>____________</w:t>
      </w:r>
      <w:r>
        <w:rPr>
          <w:rFonts w:hint="eastAsia" w:ascii="宋体" w:hAnsi="宋体"/>
          <w:color w:val="auto"/>
          <w:sz w:val="24"/>
          <w:highlight w:val="none"/>
        </w:rPr>
        <w:t>号的招标活动。代理人在开标、评标、合同谈判过程中所签署的一切文件和处理与这有关的一切事务，我均予以承认。</w:t>
      </w:r>
    </w:p>
    <w:p w14:paraId="36694AA1">
      <w:pPr>
        <w:overflowPunct w:val="0"/>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代理人在授权委托书有效期内签署的所有文件不因授权委托的撤销而失效，除非有撤销授权委托的书面通知，本授权委托书自投标开始至合同履行完毕止。</w:t>
      </w:r>
    </w:p>
    <w:p w14:paraId="4E5A1260">
      <w:pPr>
        <w:overflowPunct w:val="0"/>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代理人无转委托权。特此委托！</w:t>
      </w:r>
    </w:p>
    <w:p w14:paraId="3BA20603">
      <w:pPr>
        <w:overflowPunct w:val="0"/>
        <w:adjustRightInd w:val="0"/>
        <w:ind w:firstLine="420"/>
        <w:textAlignment w:val="baseline"/>
        <w:rPr>
          <w:rFonts w:ascii="宋体" w:hAnsi="宋体"/>
          <w:color w:val="auto"/>
          <w:sz w:val="24"/>
          <w:highlight w:val="none"/>
        </w:rPr>
      </w:pPr>
      <w:r>
        <w:rPr>
          <w:rFonts w:ascii="宋体" w:hAnsi="宋体"/>
          <w:color w:val="auto"/>
          <w:sz w:val="24"/>
          <w:highlight w:val="none"/>
        </w:rPr>
        <w:t xml:space="preserve">    </w:t>
      </w:r>
    </w:p>
    <w:p w14:paraId="68DC6D82">
      <w:pPr>
        <w:overflowPunct w:val="0"/>
        <w:adjustRightInd w:val="0"/>
        <w:ind w:firstLine="420"/>
        <w:textAlignment w:val="baseline"/>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：（盖章）</w:t>
      </w:r>
    </w:p>
    <w:p w14:paraId="03433DE0">
      <w:pPr>
        <w:overflowPunct w:val="0"/>
        <w:adjustRightInd w:val="0"/>
        <w:ind w:firstLine="420"/>
        <w:textAlignment w:val="baseline"/>
        <w:rPr>
          <w:rFonts w:ascii="宋体" w:hAnsi="宋体"/>
          <w:color w:val="auto"/>
          <w:sz w:val="24"/>
          <w:highlight w:val="none"/>
        </w:rPr>
      </w:pPr>
      <w:r>
        <w:rPr>
          <w:rFonts w:hint="eastAsia" w:ascii="宋体" w:hAnsi="宋体"/>
          <w:color w:val="auto"/>
          <w:sz w:val="24"/>
          <w:highlight w:val="none"/>
        </w:rPr>
        <w:t>法定代表人：（签字）</w:t>
      </w:r>
    </w:p>
    <w:p w14:paraId="754E0450">
      <w:pPr>
        <w:overflowPunct w:val="0"/>
        <w:adjustRightInd w:val="0"/>
        <w:ind w:firstLine="420"/>
        <w:textAlignment w:val="baseline"/>
        <w:rPr>
          <w:rFonts w:ascii="宋体" w:hAnsi="宋体"/>
          <w:color w:val="auto"/>
          <w:sz w:val="24"/>
          <w:highlight w:val="none"/>
        </w:rPr>
      </w:pPr>
      <w:r>
        <w:rPr>
          <w:rFonts w:hint="eastAsia" w:ascii="宋体" w:hAnsi="宋体"/>
          <w:color w:val="auto"/>
          <w:sz w:val="24"/>
          <w:highlight w:val="none"/>
        </w:rPr>
        <w:t>授权代理人：（签字）</w:t>
      </w:r>
    </w:p>
    <w:p w14:paraId="677A2167">
      <w:pPr>
        <w:overflowPunct w:val="0"/>
        <w:adjustRightInd w:val="0"/>
        <w:ind w:firstLine="420"/>
        <w:textAlignment w:val="baseline"/>
        <w:rPr>
          <w:rFonts w:ascii="宋体" w:hAnsi="宋体"/>
          <w:color w:val="auto"/>
          <w:sz w:val="24"/>
          <w:highlight w:val="none"/>
        </w:rPr>
      </w:pPr>
      <w:r>
        <w:rPr>
          <w:rFonts w:hint="eastAsia" w:ascii="宋体" w:hAnsi="宋体"/>
          <w:color w:val="auto"/>
          <w:sz w:val="24"/>
          <w:highlight w:val="none"/>
        </w:rPr>
        <w:t>日期：年   月   日</w:t>
      </w:r>
    </w:p>
    <w:p w14:paraId="3B7916F7">
      <w:pPr>
        <w:overflowPunct w:val="0"/>
        <w:adjustRightInd w:val="0"/>
        <w:ind w:firstLine="420"/>
        <w:jc w:val="right"/>
        <w:textAlignment w:val="baseline"/>
        <w:rPr>
          <w:rFonts w:ascii="宋体" w:hAnsi="宋体"/>
          <w:color w:val="auto"/>
          <w:sz w:val="24"/>
          <w:highlight w:val="none"/>
        </w:rPr>
      </w:pPr>
    </w:p>
    <w:p w14:paraId="3CC21CE7">
      <w:pPr>
        <w:overflowPunct w:val="0"/>
        <w:adjustRightInd w:val="0"/>
        <w:ind w:firstLine="420"/>
        <w:jc w:val="right"/>
        <w:textAlignment w:val="baseline"/>
        <w:rPr>
          <w:rFonts w:ascii="宋体" w:hAnsi="宋体"/>
          <w:color w:val="auto"/>
          <w:sz w:val="24"/>
          <w:highlight w:val="none"/>
        </w:rPr>
      </w:pPr>
    </w:p>
    <w:p w14:paraId="6529B8E0">
      <w:pPr>
        <w:overflowPunct w:val="0"/>
        <w:adjustRightInd w:val="0"/>
        <w:ind w:firstLine="420"/>
        <w:jc w:val="right"/>
        <w:textAlignment w:val="baseline"/>
        <w:rPr>
          <w:rFonts w:ascii="宋体" w:hAnsi="宋体"/>
          <w:color w:val="auto"/>
          <w:sz w:val="24"/>
          <w:highlight w:val="none"/>
        </w:rPr>
      </w:pPr>
    </w:p>
    <w:p w14:paraId="60559EC7">
      <w:pPr>
        <w:pStyle w:val="21"/>
        <w:ind w:firstLine="480"/>
        <w:rPr>
          <w:rFonts w:hAnsi="宋体"/>
          <w:color w:val="auto"/>
          <w:sz w:val="24"/>
          <w:highlight w:val="none"/>
        </w:rPr>
      </w:pPr>
    </w:p>
    <w:p w14:paraId="1774291F">
      <w:pPr>
        <w:rPr>
          <w:rFonts w:ascii="宋体" w:hAnsi="宋体"/>
          <w:color w:val="auto"/>
          <w:sz w:val="24"/>
          <w:highlight w:val="none"/>
        </w:rPr>
      </w:pPr>
    </w:p>
    <w:p w14:paraId="1BEDEBC6">
      <w:pPr>
        <w:pStyle w:val="21"/>
        <w:ind w:firstLine="480"/>
        <w:rPr>
          <w:rFonts w:hAnsi="宋体"/>
          <w:color w:val="auto"/>
          <w:sz w:val="24"/>
          <w:highlight w:val="none"/>
        </w:rPr>
      </w:pPr>
    </w:p>
    <w:p w14:paraId="31FAE12F">
      <w:pPr>
        <w:rPr>
          <w:rFonts w:ascii="宋体" w:hAnsi="宋体"/>
          <w:color w:val="auto"/>
          <w:sz w:val="24"/>
          <w:highlight w:val="none"/>
        </w:rPr>
      </w:pPr>
    </w:p>
    <w:p w14:paraId="4ECB03E1">
      <w:pPr>
        <w:adjustRightInd w:val="0"/>
        <w:spacing w:line="360" w:lineRule="exact"/>
        <w:textAlignment w:val="baseline"/>
        <w:rPr>
          <w:rFonts w:hint="eastAsia" w:ascii="宋体" w:hAnsi="宋体"/>
          <w:b/>
          <w:color w:val="auto"/>
          <w:sz w:val="32"/>
          <w:szCs w:val="32"/>
          <w:highlight w:val="none"/>
        </w:rPr>
      </w:pPr>
    </w:p>
    <w:p w14:paraId="70ABA17D">
      <w:pPr>
        <w:adjustRightInd w:val="0"/>
        <w:spacing w:line="360" w:lineRule="exact"/>
        <w:textAlignment w:val="baseline"/>
        <w:rPr>
          <w:rFonts w:hint="eastAsia" w:ascii="宋体" w:hAnsi="宋体"/>
          <w:b/>
          <w:color w:val="auto"/>
          <w:sz w:val="32"/>
          <w:szCs w:val="32"/>
          <w:highlight w:val="none"/>
        </w:rPr>
      </w:pPr>
    </w:p>
    <w:p w14:paraId="16EB8CC1">
      <w:pPr>
        <w:adjustRightInd w:val="0"/>
        <w:spacing w:line="360" w:lineRule="exact"/>
        <w:textAlignment w:val="baseline"/>
        <w:rPr>
          <w:rFonts w:hint="eastAsia" w:ascii="宋体" w:hAnsi="宋体"/>
          <w:b/>
          <w:color w:val="auto"/>
          <w:sz w:val="32"/>
          <w:szCs w:val="32"/>
          <w:highlight w:val="none"/>
        </w:rPr>
      </w:pPr>
    </w:p>
    <w:p w14:paraId="4BF5532A">
      <w:pPr>
        <w:adjustRightInd w:val="0"/>
        <w:spacing w:line="360" w:lineRule="exact"/>
        <w:textAlignment w:val="baseline"/>
        <w:rPr>
          <w:rFonts w:hint="eastAsia" w:ascii="宋体" w:hAnsi="宋体"/>
          <w:b/>
          <w:color w:val="auto"/>
          <w:sz w:val="32"/>
          <w:szCs w:val="32"/>
          <w:highlight w:val="none"/>
        </w:rPr>
      </w:pPr>
    </w:p>
    <w:p w14:paraId="08A9349D">
      <w:pPr>
        <w:adjustRightInd w:val="0"/>
        <w:spacing w:line="360" w:lineRule="exact"/>
        <w:textAlignment w:val="baseline"/>
        <w:rPr>
          <w:rFonts w:hint="eastAsia" w:ascii="宋体" w:hAnsi="宋体"/>
          <w:b/>
          <w:color w:val="auto"/>
          <w:sz w:val="32"/>
          <w:szCs w:val="32"/>
          <w:highlight w:val="none"/>
        </w:rPr>
      </w:pPr>
    </w:p>
    <w:p w14:paraId="3B985669">
      <w:pPr>
        <w:adjustRightInd w:val="0"/>
        <w:spacing w:line="360" w:lineRule="exact"/>
        <w:textAlignment w:val="baseline"/>
        <w:rPr>
          <w:rFonts w:hint="eastAsia" w:ascii="宋体" w:hAnsi="宋体"/>
          <w:b/>
          <w:color w:val="auto"/>
          <w:sz w:val="32"/>
          <w:szCs w:val="32"/>
          <w:highlight w:val="none"/>
        </w:rPr>
      </w:pPr>
    </w:p>
    <w:p w14:paraId="1A15C7EC">
      <w:pPr>
        <w:adjustRightInd w:val="0"/>
        <w:spacing w:line="360" w:lineRule="exact"/>
        <w:textAlignment w:val="baseline"/>
        <w:rPr>
          <w:rFonts w:hint="eastAsia" w:ascii="宋体" w:hAnsi="宋体"/>
          <w:b/>
          <w:color w:val="auto"/>
          <w:sz w:val="32"/>
          <w:szCs w:val="32"/>
          <w:highlight w:val="none"/>
        </w:rPr>
      </w:pPr>
    </w:p>
    <w:p w14:paraId="26BB8654">
      <w:pPr>
        <w:adjustRightInd w:val="0"/>
        <w:spacing w:line="360" w:lineRule="exact"/>
        <w:textAlignment w:val="baseline"/>
        <w:rPr>
          <w:rFonts w:hint="eastAsia" w:ascii="宋体" w:hAnsi="宋体"/>
          <w:b/>
          <w:color w:val="auto"/>
          <w:sz w:val="32"/>
          <w:szCs w:val="32"/>
          <w:highlight w:val="none"/>
        </w:rPr>
      </w:pPr>
    </w:p>
    <w:p w14:paraId="31A8C9FD">
      <w:pPr>
        <w:adjustRightInd w:val="0"/>
        <w:spacing w:line="360" w:lineRule="exact"/>
        <w:textAlignment w:val="baseline"/>
        <w:rPr>
          <w:rFonts w:hint="eastAsia" w:ascii="宋体" w:hAnsi="宋体"/>
          <w:b/>
          <w:color w:val="auto"/>
          <w:sz w:val="32"/>
          <w:szCs w:val="32"/>
          <w:highlight w:val="none"/>
        </w:rPr>
      </w:pPr>
    </w:p>
    <w:p w14:paraId="758EBC97">
      <w:pPr>
        <w:adjustRightInd w:val="0"/>
        <w:spacing w:line="360" w:lineRule="exact"/>
        <w:textAlignment w:val="baseline"/>
        <w:rPr>
          <w:rFonts w:hint="eastAsia" w:ascii="宋体" w:hAnsi="宋体"/>
          <w:b/>
          <w:color w:val="auto"/>
          <w:sz w:val="32"/>
          <w:szCs w:val="32"/>
          <w:highlight w:val="none"/>
        </w:rPr>
      </w:pPr>
    </w:p>
    <w:p w14:paraId="71F5A9D4">
      <w:pPr>
        <w:adjustRightInd w:val="0"/>
        <w:spacing w:line="360" w:lineRule="exact"/>
        <w:textAlignment w:val="baseline"/>
        <w:rPr>
          <w:rFonts w:hint="eastAsia" w:ascii="宋体" w:hAnsi="宋体"/>
          <w:b/>
          <w:color w:val="auto"/>
          <w:sz w:val="32"/>
          <w:szCs w:val="32"/>
          <w:highlight w:val="none"/>
        </w:rPr>
      </w:pPr>
    </w:p>
    <w:p w14:paraId="0CE51D7B">
      <w:pPr>
        <w:adjustRightInd w:val="0"/>
        <w:spacing w:line="360" w:lineRule="exact"/>
        <w:textAlignment w:val="baseline"/>
        <w:rPr>
          <w:rFonts w:hint="eastAsia" w:ascii="宋体" w:hAnsi="宋体"/>
          <w:b/>
          <w:color w:val="auto"/>
          <w:sz w:val="32"/>
          <w:szCs w:val="32"/>
          <w:highlight w:val="none"/>
        </w:rPr>
      </w:pPr>
    </w:p>
    <w:p w14:paraId="70A2F7B7">
      <w:pPr>
        <w:adjustRightInd w:val="0"/>
        <w:spacing w:line="360" w:lineRule="exact"/>
        <w:textAlignment w:val="baseline"/>
        <w:rPr>
          <w:rFonts w:hint="eastAsia" w:ascii="宋体" w:hAnsi="宋体"/>
          <w:b/>
          <w:color w:val="auto"/>
          <w:sz w:val="32"/>
          <w:szCs w:val="32"/>
          <w:highlight w:val="none"/>
        </w:rPr>
      </w:pPr>
    </w:p>
    <w:p w14:paraId="5DD431C1">
      <w:pPr>
        <w:adjustRightInd w:val="0"/>
        <w:spacing w:line="360" w:lineRule="exact"/>
        <w:textAlignment w:val="baseline"/>
        <w:rPr>
          <w:rFonts w:hint="eastAsia" w:ascii="宋体" w:hAnsi="宋体"/>
          <w:b/>
          <w:color w:val="auto"/>
          <w:sz w:val="32"/>
          <w:szCs w:val="32"/>
          <w:highlight w:val="none"/>
        </w:rPr>
      </w:pPr>
    </w:p>
    <w:p w14:paraId="63701559">
      <w:pPr>
        <w:adjustRightInd w:val="0"/>
        <w:spacing w:line="360" w:lineRule="exact"/>
        <w:textAlignment w:val="baseline"/>
        <w:rPr>
          <w:rFonts w:ascii="宋体" w:hAnsi="宋体"/>
          <w:color w:val="auto"/>
          <w:sz w:val="32"/>
          <w:szCs w:val="32"/>
          <w:highlight w:val="none"/>
        </w:rPr>
      </w:pPr>
      <w:r>
        <w:rPr>
          <w:rFonts w:hint="eastAsia" w:ascii="宋体" w:hAnsi="宋体"/>
          <w:b/>
          <w:color w:val="auto"/>
          <w:sz w:val="32"/>
          <w:szCs w:val="32"/>
          <w:highlight w:val="none"/>
        </w:rPr>
        <w:t>2、开标一览表</w:t>
      </w:r>
    </w:p>
    <w:p w14:paraId="05624C0F">
      <w:pPr>
        <w:adjustRightInd w:val="0"/>
        <w:jc w:val="both"/>
        <w:textAlignment w:val="baseline"/>
        <w:rPr>
          <w:rFonts w:ascii="宋体" w:hAnsi="宋体"/>
          <w:color w:val="auto"/>
          <w:highlight w:val="none"/>
        </w:rPr>
      </w:pPr>
    </w:p>
    <w:p w14:paraId="707556E6">
      <w:pPr>
        <w:adjustRightInd w:val="0"/>
        <w:jc w:val="center"/>
        <w:textAlignment w:val="baseline"/>
        <w:rPr>
          <w:color w:val="auto"/>
          <w:highlight w:val="none"/>
        </w:rPr>
      </w:pPr>
      <w:r>
        <w:rPr>
          <w:rFonts w:hint="eastAsia" w:ascii="宋体" w:hAnsi="宋体"/>
          <w:b/>
          <w:color w:val="auto"/>
          <w:sz w:val="32"/>
          <w:szCs w:val="32"/>
          <w:highlight w:val="none"/>
        </w:rPr>
        <w:t>开标一览表</w:t>
      </w:r>
    </w:p>
    <w:p w14:paraId="3141B0CE">
      <w:pPr>
        <w:pStyle w:val="21"/>
        <w:spacing w:line="360" w:lineRule="auto"/>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                               </w:t>
      </w:r>
    </w:p>
    <w:p w14:paraId="72A8721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b w:val="0"/>
          <w:bCs/>
          <w:color w:val="auto"/>
          <w:sz w:val="24"/>
          <w:szCs w:val="24"/>
          <w:highlight w:val="none"/>
          <w:lang w:eastAsia="zh-CN"/>
        </w:rPr>
      </w:pPr>
      <w:r>
        <w:rPr>
          <w:rFonts w:hint="eastAsia" w:ascii="Times New Roman" w:eastAsia="宋体"/>
          <w:b w:val="0"/>
          <w:bCs/>
          <w:color w:val="auto"/>
          <w:sz w:val="24"/>
          <w:szCs w:val="24"/>
          <w:highlight w:val="none"/>
          <w:lang w:val="en-US" w:eastAsia="zh-CN"/>
        </w:rPr>
        <w:t>项目编号：</w:t>
      </w:r>
      <w:r>
        <w:rPr>
          <w:rFonts w:hint="eastAsia" w:ascii="宋体" w:hAnsi="宋体"/>
          <w:b w:val="0"/>
          <w:bCs/>
          <w:color w:val="auto"/>
          <w:sz w:val="24"/>
          <w:szCs w:val="24"/>
          <w:highlight w:val="none"/>
          <w:lang w:eastAsia="zh-CN"/>
        </w:rPr>
        <w:t>JSZC-320585-JSQY-G2025-0015</w:t>
      </w:r>
    </w:p>
    <w:tbl>
      <w:tblPr>
        <w:tblStyle w:val="15"/>
        <w:tblW w:w="10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895"/>
        <w:gridCol w:w="1815"/>
        <w:gridCol w:w="1815"/>
        <w:gridCol w:w="2565"/>
      </w:tblGrid>
      <w:tr w14:paraId="4D6A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950" w:type="dxa"/>
            <w:noWrap w:val="0"/>
            <w:vAlign w:val="center"/>
          </w:tcPr>
          <w:p w14:paraId="4127D820">
            <w:pPr>
              <w:pageBreakBefore w:val="0"/>
              <w:kinsoku/>
              <w:wordWrap/>
              <w:topLinePunct w:val="0"/>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序号</w:t>
            </w:r>
          </w:p>
        </w:tc>
        <w:tc>
          <w:tcPr>
            <w:tcW w:w="2895" w:type="dxa"/>
            <w:noWrap w:val="0"/>
            <w:vAlign w:val="center"/>
          </w:tcPr>
          <w:p w14:paraId="1B62F84E">
            <w:pPr>
              <w:pageBreakBefore w:val="0"/>
              <w:kinsoku/>
              <w:wordWrap/>
              <w:topLinePunct w:val="0"/>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815" w:type="dxa"/>
            <w:noWrap w:val="0"/>
            <w:vAlign w:val="center"/>
          </w:tcPr>
          <w:p w14:paraId="235159E0">
            <w:pPr>
              <w:pageBreakBefore w:val="0"/>
              <w:kinsoku/>
              <w:wordWrap/>
              <w:topLinePunct w:val="0"/>
              <w:bidi w:val="0"/>
              <w:spacing w:beforeAutospacing="0" w:afterAutospacing="0" w:line="360" w:lineRule="auto"/>
              <w:ind w:left="0" w:leftChars="0" w:right="0" w:rightChars="0"/>
              <w:jc w:val="center"/>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标段号</w:t>
            </w:r>
          </w:p>
        </w:tc>
        <w:tc>
          <w:tcPr>
            <w:tcW w:w="1815" w:type="dxa"/>
            <w:noWrap w:val="0"/>
            <w:vAlign w:val="center"/>
          </w:tcPr>
          <w:p w14:paraId="0E8EA971">
            <w:pPr>
              <w:pageBreakBefore w:val="0"/>
              <w:kinsoku/>
              <w:wordWrap/>
              <w:topLinePunct w:val="0"/>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优惠率</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p>
        </w:tc>
        <w:tc>
          <w:tcPr>
            <w:tcW w:w="2565" w:type="dxa"/>
            <w:noWrap w:val="0"/>
            <w:vAlign w:val="center"/>
          </w:tcPr>
          <w:p w14:paraId="43CD432C">
            <w:pPr>
              <w:pageBreakBefore w:val="0"/>
              <w:kinsoku/>
              <w:wordWrap/>
              <w:topLinePunct w:val="0"/>
              <w:bidi w:val="0"/>
              <w:spacing w:beforeAutospacing="0" w:afterAutospacing="0" w:line="360" w:lineRule="auto"/>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w:t>
            </w:r>
          </w:p>
        </w:tc>
      </w:tr>
      <w:tr w14:paraId="3365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50" w:type="dxa"/>
            <w:noWrap w:val="0"/>
            <w:vAlign w:val="center"/>
          </w:tcPr>
          <w:p w14:paraId="0EE9C197">
            <w:pPr>
              <w:pageBreakBefore w:val="0"/>
              <w:widowControl w:val="0"/>
              <w:kinsoku/>
              <w:wordWrap/>
              <w:topLinePunct w:val="0"/>
              <w:bidi w:val="0"/>
              <w:spacing w:beforeAutospacing="0" w:afterAutospacing="0" w:line="360" w:lineRule="auto"/>
              <w:ind w:left="0" w:leftChars="0" w:right="0" w:rightChars="0"/>
              <w:jc w:val="center"/>
              <w:rPr>
                <w:rFonts w:hint="default" w:asciiTheme="minorHAnsi" w:eastAsiaTheme="minorEastAsia"/>
                <w:b w:val="0"/>
                <w:bCs/>
                <w:color w:val="auto"/>
                <w:sz w:val="24"/>
                <w:szCs w:val="24"/>
                <w:highlight w:val="none"/>
                <w:lang w:val="en-US" w:eastAsia="zh-CN"/>
              </w:rPr>
            </w:pPr>
            <w:r>
              <w:rPr>
                <w:rFonts w:hint="eastAsia" w:asciiTheme="minorHAnsi" w:eastAsiaTheme="minorEastAsia"/>
                <w:b w:val="0"/>
                <w:bCs/>
                <w:color w:val="auto"/>
                <w:sz w:val="24"/>
                <w:szCs w:val="24"/>
                <w:highlight w:val="none"/>
                <w:lang w:val="en-US" w:eastAsia="zh-CN"/>
              </w:rPr>
              <w:t>1</w:t>
            </w:r>
          </w:p>
        </w:tc>
        <w:tc>
          <w:tcPr>
            <w:tcW w:w="2895" w:type="dxa"/>
            <w:noWrap w:val="0"/>
            <w:vAlign w:val="center"/>
          </w:tcPr>
          <w:p w14:paraId="7BEB17AC">
            <w:pPr>
              <w:pageBreakBefore w:val="0"/>
              <w:widowControl w:val="0"/>
              <w:kinsoku/>
              <w:wordWrap/>
              <w:topLinePunct w:val="0"/>
              <w:bidi w:val="0"/>
              <w:spacing w:beforeAutospacing="0" w:afterAutospacing="0" w:line="360" w:lineRule="auto"/>
              <w:ind w:left="0" w:leftChars="0" w:right="0" w:rightChars="0"/>
              <w:jc w:val="center"/>
              <w:rPr>
                <w:rFonts w:hint="eastAsia" w:ascii="宋体" w:hAnsi="宋体" w:eastAsia="宋体" w:cs="宋体"/>
                <w:bCs/>
                <w:color w:val="auto"/>
                <w:kern w:val="0"/>
                <w:sz w:val="24"/>
                <w:szCs w:val="24"/>
                <w:highlight w:val="none"/>
                <w:lang w:val="en-US" w:eastAsia="zh-CN" w:bidi="ar-SA"/>
              </w:rPr>
            </w:pPr>
            <w:r>
              <w:rPr>
                <w:rFonts w:hint="eastAsia" w:asciiTheme="minorHAnsi" w:eastAsiaTheme="minorEastAsia"/>
                <w:b w:val="0"/>
                <w:bCs/>
                <w:color w:val="auto"/>
                <w:sz w:val="24"/>
                <w:szCs w:val="24"/>
                <w:highlight w:val="none"/>
                <w:lang w:val="en-US" w:eastAsia="zh-CN"/>
              </w:rPr>
              <w:t xml:space="preserve">2026年度港区建设项目环评和危废发证技术评估 </w:t>
            </w:r>
          </w:p>
        </w:tc>
        <w:tc>
          <w:tcPr>
            <w:tcW w:w="1815" w:type="dxa"/>
            <w:noWrap w:val="0"/>
            <w:vAlign w:val="center"/>
          </w:tcPr>
          <w:p w14:paraId="6A0E93C5">
            <w:pPr>
              <w:pageBreakBefore w:val="0"/>
              <w:widowControl w:val="0"/>
              <w:kinsoku/>
              <w:wordWrap/>
              <w:topLinePunct w:val="0"/>
              <w:bidi w:val="0"/>
              <w:spacing w:beforeAutospacing="0" w:afterAutospacing="0" w:line="360" w:lineRule="auto"/>
              <w:ind w:left="0" w:leftChars="0" w:right="0" w:rightChars="0"/>
              <w:jc w:val="center"/>
              <w:rPr>
                <w:rFonts w:hint="default" w:ascii="宋体" w:hAnsi="宋体" w:eastAsia="宋体" w:cs="宋体"/>
                <w:bCs/>
                <w:color w:val="auto"/>
                <w:kern w:val="0"/>
                <w:sz w:val="24"/>
                <w:szCs w:val="24"/>
                <w:highlight w:val="none"/>
                <w:lang w:val="en-US" w:eastAsia="zh-CN" w:bidi="ar-SA"/>
              </w:rPr>
            </w:pPr>
          </w:p>
        </w:tc>
        <w:tc>
          <w:tcPr>
            <w:tcW w:w="1815" w:type="dxa"/>
            <w:noWrap w:val="0"/>
            <w:vAlign w:val="center"/>
          </w:tcPr>
          <w:p w14:paraId="17A6213F">
            <w:pPr>
              <w:pageBreakBefore w:val="0"/>
              <w:widowControl w:val="0"/>
              <w:kinsoku/>
              <w:wordWrap/>
              <w:topLinePunct w:val="0"/>
              <w:bidi w:val="0"/>
              <w:spacing w:beforeAutospacing="0" w:afterAutospacing="0" w:line="360" w:lineRule="auto"/>
              <w:ind w:left="0" w:leftChars="0" w:right="0" w:rightChars="0"/>
              <w:jc w:val="center"/>
              <w:rPr>
                <w:rFonts w:hint="default" w:ascii="宋体" w:hAnsi="宋体" w:eastAsia="宋体" w:cs="宋体"/>
                <w:bCs/>
                <w:color w:val="auto"/>
                <w:kern w:val="0"/>
                <w:sz w:val="24"/>
                <w:szCs w:val="24"/>
                <w:highlight w:val="none"/>
                <w:lang w:val="en-US" w:eastAsia="zh-CN" w:bidi="ar-SA"/>
              </w:rPr>
            </w:pPr>
          </w:p>
        </w:tc>
        <w:tc>
          <w:tcPr>
            <w:tcW w:w="2565" w:type="dxa"/>
            <w:noWrap w:val="0"/>
            <w:vAlign w:val="center"/>
          </w:tcPr>
          <w:p w14:paraId="2E8C4748">
            <w:pPr>
              <w:pageBreakBefore w:val="0"/>
              <w:widowControl w:val="0"/>
              <w:kinsoku/>
              <w:wordWrap/>
              <w:topLinePunct w:val="0"/>
              <w:bidi w:val="0"/>
              <w:spacing w:beforeAutospacing="0" w:afterAutospacing="0" w:line="360" w:lineRule="auto"/>
              <w:ind w:right="0" w:rightChars="0"/>
              <w:jc w:val="both"/>
              <w:rPr>
                <w:rFonts w:hint="eastAsia" w:ascii="宋体" w:hAnsi="宋体" w:eastAsia="宋体" w:cs="宋体"/>
                <w:bCs/>
                <w:color w:val="auto"/>
                <w:kern w:val="0"/>
                <w:sz w:val="24"/>
                <w:szCs w:val="24"/>
                <w:highlight w:val="none"/>
                <w:lang w:val="en-US" w:eastAsia="zh-CN" w:bidi="ar-SA"/>
              </w:rPr>
            </w:pPr>
            <w:r>
              <w:rPr>
                <w:rFonts w:hint="eastAsia" w:ascii="宋体" w:hAnsi="宋体" w:cs="宋体"/>
                <w:color w:val="auto"/>
                <w:sz w:val="24"/>
                <w:szCs w:val="24"/>
                <w:highlight w:val="none"/>
                <w:lang w:val="en-US" w:eastAsia="zh-CN"/>
              </w:rPr>
              <w:t>自合同签订之日起至</w:t>
            </w:r>
            <w:r>
              <w:rPr>
                <w:rFonts w:hint="eastAsia" w:ascii="宋体" w:hAnsi="宋体" w:eastAsia="宋体" w:cs="宋体"/>
                <w:color w:val="auto"/>
                <w:sz w:val="24"/>
                <w:szCs w:val="24"/>
                <w:highlight w:val="none"/>
              </w:rPr>
              <w:t>2026年12月31日</w:t>
            </w:r>
          </w:p>
        </w:tc>
      </w:tr>
    </w:tbl>
    <w:p w14:paraId="021F4097">
      <w:pPr>
        <w:autoSpaceDE w:val="0"/>
        <w:autoSpaceDN w:val="0"/>
        <w:adjustRightInd w:val="0"/>
        <w:spacing w:line="360" w:lineRule="auto"/>
        <w:ind w:firstLine="210"/>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注：</w:t>
      </w:r>
    </w:p>
    <w:p w14:paraId="1C1EEE43">
      <w:pPr>
        <w:autoSpaceDE w:val="0"/>
        <w:autoSpaceDN w:val="0"/>
        <w:adjustRightInd w:val="0"/>
        <w:spacing w:line="360" w:lineRule="auto"/>
        <w:ind w:firstLine="482" w:firstLineChars="200"/>
        <w:rPr>
          <w:rFonts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rPr>
        <w:t>1、</w:t>
      </w:r>
      <w:r>
        <w:rPr>
          <w:rFonts w:hint="eastAsia" w:ascii="宋体" w:hAnsi="宋体" w:eastAsia="宋体" w:cs="Times New Roman"/>
          <w:b/>
          <w:bCs w:val="0"/>
          <w:color w:val="auto"/>
          <w:sz w:val="24"/>
          <w:szCs w:val="24"/>
          <w:highlight w:val="none"/>
          <w:lang w:val="zh-CN"/>
        </w:rPr>
        <w:t>本次报价为</w:t>
      </w:r>
      <w:r>
        <w:rPr>
          <w:rFonts w:hint="eastAsia" w:ascii="宋体" w:hAnsi="宋体" w:eastAsia="宋体" w:cs="宋体"/>
          <w:b/>
          <w:bCs w:val="0"/>
          <w:color w:val="auto"/>
          <w:kern w:val="0"/>
          <w:sz w:val="24"/>
          <w:szCs w:val="24"/>
          <w:highlight w:val="none"/>
          <w:lang w:val="en-US" w:eastAsia="zh-CN"/>
        </w:rPr>
        <w:t>优惠</w:t>
      </w:r>
      <w:r>
        <w:rPr>
          <w:rFonts w:hint="eastAsia" w:ascii="宋体" w:hAnsi="宋体" w:eastAsia="宋体" w:cs="Times New Roman"/>
          <w:b/>
          <w:bCs w:val="0"/>
          <w:color w:val="auto"/>
          <w:sz w:val="24"/>
          <w:szCs w:val="24"/>
          <w:highlight w:val="none"/>
          <w:lang w:val="zh-CN"/>
        </w:rPr>
        <w:t>率报价。</w:t>
      </w:r>
    </w:p>
    <w:p w14:paraId="63BBF43E">
      <w:pPr>
        <w:keepNext w:val="0"/>
        <w:keepLines w:val="0"/>
        <w:pageBreakBefore w:val="0"/>
        <w:wordWrap/>
        <w:overflowPunct/>
        <w:topLinePunct w:val="0"/>
        <w:bidi w:val="0"/>
        <w:spacing w:line="360" w:lineRule="auto"/>
        <w:ind w:left="0" w:right="0" w:rightChars="0" w:firstLine="482" w:firstLineChars="200"/>
        <w:contextualSpacing/>
        <w:jc w:val="left"/>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Times New Roman"/>
          <w:b/>
          <w:color w:val="auto"/>
          <w:sz w:val="24"/>
          <w:szCs w:val="24"/>
          <w:highlight w:val="none"/>
        </w:rPr>
        <w:t>2、</w:t>
      </w:r>
      <w:r>
        <w:rPr>
          <w:rFonts w:hint="eastAsia" w:ascii="Times New Roman" w:hAnsi="Times New Roman" w:eastAsia="宋体" w:cs="Times New Roman"/>
          <w:color w:val="auto"/>
          <w:sz w:val="24"/>
          <w:szCs w:val="24"/>
          <w:highlight w:val="none"/>
        </w:rPr>
        <w:t>本表中的</w:t>
      </w:r>
      <w:r>
        <w:rPr>
          <w:rFonts w:ascii="Times New Roman" w:hAnsi="Times New Roman" w:eastAsia="宋体" w:cs="Times New Roman"/>
          <w:color w:val="auto"/>
          <w:sz w:val="24"/>
          <w:szCs w:val="24"/>
          <w:highlight w:val="none"/>
        </w:rPr>
        <w:t>报价</w:t>
      </w:r>
      <w:r>
        <w:rPr>
          <w:rFonts w:hint="eastAsia" w:ascii="Times New Roman" w:hAnsi="Times New Roman" w:eastAsia="宋体" w:cs="Times New Roman"/>
          <w:color w:val="auto"/>
          <w:sz w:val="24"/>
          <w:szCs w:val="24"/>
          <w:highlight w:val="none"/>
        </w:rPr>
        <w:t>应一次报定</w:t>
      </w:r>
      <w:r>
        <w:rPr>
          <w:rFonts w:hint="eastAsia" w:ascii="Times New Roman" w:hAnsi="Times New Roman" w:eastAsia="宋体" w:cs="Times New Roman"/>
          <w:color w:val="auto"/>
          <w:sz w:val="24"/>
          <w:szCs w:val="24"/>
          <w:highlight w:val="none"/>
          <w:lang w:eastAsia="zh-CN"/>
        </w:rPr>
        <w:t>，</w:t>
      </w:r>
      <w:r>
        <w:rPr>
          <w:rFonts w:hint="eastAsia" w:ascii="宋体" w:hAnsi="宋体" w:eastAsia="宋体" w:cs="宋体"/>
          <w:b w:val="0"/>
          <w:bCs w:val="0"/>
          <w:color w:val="auto"/>
          <w:kern w:val="1"/>
          <w:sz w:val="24"/>
          <w:szCs w:val="24"/>
          <w:highlight w:val="none"/>
          <w:lang w:val="en-US" w:eastAsia="zh-CN"/>
        </w:rPr>
        <w:t>应含完成本项工作所需的一切费用，包括但不限于各项管理费、人工成本(工资、社保、福利、津贴、加班费等)、创业项目征集与评审、专家咨询劳务费、投融资专项对接服务、宣传推广和印刷资料费、培训费、交通费、网络费、办公设备耗材费、相关设备维修费、银行费用、税费、利润、保险、政策性文件规定及合同包含的所有风险、责任等各项应有费用。</w:t>
      </w:r>
    </w:p>
    <w:p w14:paraId="69CE6873">
      <w:pPr>
        <w:autoSpaceDE w:val="0"/>
        <w:autoSpaceDN w:val="0"/>
        <w:adjustRightInd w:val="0"/>
        <w:spacing w:line="360" w:lineRule="auto"/>
        <w:ind w:firstLine="482" w:firstLineChars="200"/>
        <w:rPr>
          <w:rFonts w:ascii="宋体" w:hAnsi="宋体" w:eastAsia="宋体" w:cs="Times New Roman"/>
          <w:color w:val="auto"/>
          <w:sz w:val="24"/>
          <w:szCs w:val="24"/>
          <w:highlight w:val="none"/>
          <w:lang w:val="zh-CN"/>
        </w:rPr>
      </w:pPr>
      <w:r>
        <w:rPr>
          <w:rFonts w:hint="eastAsia" w:ascii="宋体" w:hAnsi="宋体" w:eastAsia="宋体" w:cs="Times New Roman"/>
          <w:b/>
          <w:bCs/>
          <w:color w:val="auto"/>
          <w:sz w:val="24"/>
          <w:szCs w:val="24"/>
          <w:highlight w:val="none"/>
          <w:lang w:val="zh-CN"/>
        </w:rPr>
        <w:t>3、</w:t>
      </w:r>
      <w:r>
        <w:rPr>
          <w:rFonts w:hint="eastAsia" w:ascii="宋体" w:hAnsi="宋体" w:eastAsia="宋体" w:cs="Times New Roman"/>
          <w:color w:val="auto"/>
          <w:sz w:val="24"/>
          <w:szCs w:val="24"/>
          <w:highlight w:val="none"/>
          <w:lang w:val="zh-CN"/>
        </w:rPr>
        <w:t>供应商所报</w:t>
      </w:r>
      <w:r>
        <w:rPr>
          <w:rFonts w:hint="eastAsia" w:ascii="宋体" w:hAnsi="宋体" w:eastAsia="宋体" w:cs="Times New Roman"/>
          <w:color w:val="auto"/>
          <w:sz w:val="24"/>
          <w:szCs w:val="24"/>
          <w:highlight w:val="none"/>
          <w:lang w:val="en-US" w:eastAsia="zh-CN"/>
        </w:rPr>
        <w:t>结算</w:t>
      </w:r>
      <w:r>
        <w:rPr>
          <w:rFonts w:hint="eastAsia" w:ascii="宋体" w:hAnsi="宋体" w:eastAsia="宋体" w:cs="Times New Roman"/>
          <w:color w:val="auto"/>
          <w:sz w:val="24"/>
          <w:szCs w:val="24"/>
          <w:highlight w:val="none"/>
          <w:lang w:val="zh-CN"/>
        </w:rPr>
        <w:t>单价不得超出</w:t>
      </w:r>
      <w:r>
        <w:rPr>
          <w:rFonts w:ascii="宋体" w:hAnsi="宋体" w:eastAsia="宋体" w:cs="宋体"/>
          <w:snapToGrid w:val="0"/>
          <w:color w:val="auto"/>
          <w:spacing w:val="2"/>
          <w:kern w:val="0"/>
          <w:sz w:val="24"/>
          <w:szCs w:val="24"/>
          <w:highlight w:val="none"/>
          <w:lang w:eastAsia="en-US"/>
        </w:rPr>
        <w:t>最高限价</w:t>
      </w:r>
      <w:r>
        <w:rPr>
          <w:rFonts w:hint="eastAsia" w:ascii="宋体" w:hAnsi="宋体" w:eastAsia="宋体" w:cs="Times New Roman"/>
          <w:color w:val="auto"/>
          <w:sz w:val="24"/>
          <w:szCs w:val="24"/>
          <w:highlight w:val="none"/>
          <w:lang w:val="zh-CN"/>
        </w:rPr>
        <w:t>，否则视为无效投标。</w:t>
      </w:r>
    </w:p>
    <w:p w14:paraId="655CFEF7">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right="0" w:firstLine="504" w:firstLineChars="200"/>
        <w:jc w:val="left"/>
        <w:textAlignment w:val="baseline"/>
        <w:rPr>
          <w:rFonts w:ascii="宋体" w:hAnsi="宋体" w:eastAsia="宋体" w:cs="宋体"/>
          <w:b/>
          <w:bCs/>
          <w:snapToGrid w:val="0"/>
          <w:color w:val="auto"/>
          <w:spacing w:val="16"/>
          <w:kern w:val="0"/>
          <w:sz w:val="24"/>
          <w:szCs w:val="24"/>
          <w:highlight w:val="none"/>
          <w:lang w:eastAsia="en-US"/>
        </w:rPr>
      </w:pPr>
      <w:r>
        <w:rPr>
          <w:rFonts w:hint="eastAsia" w:ascii="宋体" w:hAnsi="宋体" w:eastAsia="宋体" w:cs="宋体"/>
          <w:snapToGrid w:val="0"/>
          <w:color w:val="auto"/>
          <w:spacing w:val="6"/>
          <w:kern w:val="0"/>
          <w:sz w:val="24"/>
          <w:szCs w:val="24"/>
          <w:highlight w:val="none"/>
          <w:lang w:val="en-US" w:eastAsia="zh-CN"/>
        </w:rPr>
        <w:t>4、</w:t>
      </w:r>
      <w:r>
        <w:rPr>
          <w:rFonts w:ascii="宋体" w:hAnsi="宋体" w:eastAsia="宋体" w:cs="宋体"/>
          <w:b/>
          <w:bCs/>
          <w:snapToGrid w:val="0"/>
          <w:color w:val="auto"/>
          <w:spacing w:val="6"/>
          <w:kern w:val="0"/>
          <w:sz w:val="24"/>
          <w:szCs w:val="24"/>
          <w:highlight w:val="none"/>
          <w:lang w:eastAsia="en-US"/>
        </w:rPr>
        <w:t>本项目</w:t>
      </w:r>
      <w:r>
        <w:rPr>
          <w:rFonts w:hint="eastAsia" w:ascii="宋体" w:hAnsi="宋体" w:eastAsia="宋体" w:cs="宋体"/>
          <w:b/>
          <w:bCs/>
          <w:color w:val="auto"/>
          <w:sz w:val="24"/>
          <w:szCs w:val="24"/>
          <w:highlight w:val="none"/>
        </w:rPr>
        <w:t>以实际发生评估项目数量为准</w:t>
      </w:r>
      <w:r>
        <w:rPr>
          <w:rFonts w:hint="eastAsia" w:ascii="宋体" w:hAnsi="宋体" w:eastAsia="宋体" w:cs="宋体"/>
          <w:b/>
          <w:bCs/>
          <w:color w:val="auto"/>
          <w:sz w:val="24"/>
          <w:szCs w:val="24"/>
          <w:highlight w:val="none"/>
          <w:lang w:eastAsia="zh-CN"/>
        </w:rPr>
        <w:t>，</w:t>
      </w:r>
      <w:r>
        <w:rPr>
          <w:rFonts w:ascii="宋体" w:hAnsi="宋体" w:eastAsia="宋体" w:cs="宋体"/>
          <w:b/>
          <w:bCs/>
          <w:snapToGrid w:val="0"/>
          <w:color w:val="auto"/>
          <w:spacing w:val="6"/>
          <w:kern w:val="0"/>
          <w:sz w:val="24"/>
          <w:szCs w:val="24"/>
          <w:highlight w:val="none"/>
          <w:lang w:eastAsia="en-US"/>
        </w:rPr>
        <w:t>按实结算，结算单价=</w:t>
      </w:r>
      <w:r>
        <w:rPr>
          <w:rFonts w:hint="eastAsia" w:ascii="宋体" w:hAnsi="宋体" w:eastAsia="宋体" w:cs="宋体"/>
          <w:b/>
          <w:bCs/>
          <w:snapToGrid w:val="0"/>
          <w:color w:val="auto"/>
          <w:spacing w:val="6"/>
          <w:kern w:val="0"/>
          <w:sz w:val="24"/>
          <w:szCs w:val="24"/>
          <w:highlight w:val="none"/>
          <w:lang w:val="en-US" w:eastAsia="zh-CN"/>
        </w:rPr>
        <w:t>每项</w:t>
      </w:r>
      <w:r>
        <w:rPr>
          <w:rFonts w:ascii="宋体" w:hAnsi="宋体" w:eastAsia="宋体" w:cs="宋体"/>
          <w:b/>
          <w:bCs/>
          <w:snapToGrid w:val="0"/>
          <w:color w:val="auto"/>
          <w:spacing w:val="6"/>
          <w:kern w:val="0"/>
          <w:sz w:val="24"/>
          <w:szCs w:val="24"/>
          <w:highlight w:val="none"/>
          <w:lang w:eastAsia="en-US"/>
        </w:rPr>
        <w:t>单价最高限价*</w:t>
      </w:r>
      <w:r>
        <w:rPr>
          <w:rFonts w:hint="eastAsia" w:ascii="宋体" w:hAnsi="宋体" w:eastAsia="宋体" w:cs="Times New Roman"/>
          <w:b/>
          <w:bCs/>
          <w:color w:val="auto"/>
          <w:kern w:val="0"/>
          <w:sz w:val="24"/>
          <w:szCs w:val="24"/>
          <w:highlight w:val="none"/>
          <w:lang w:val="en-US" w:eastAsia="zh-CN"/>
        </w:rPr>
        <w:t>（1-中标优惠率）</w:t>
      </w:r>
      <w:r>
        <w:rPr>
          <w:rFonts w:ascii="宋体" w:hAnsi="宋体" w:eastAsia="宋体" w:cs="宋体"/>
          <w:b/>
          <w:bCs/>
          <w:snapToGrid w:val="0"/>
          <w:color w:val="auto"/>
          <w:spacing w:val="6"/>
          <w:kern w:val="0"/>
          <w:sz w:val="24"/>
          <w:szCs w:val="24"/>
          <w:highlight w:val="none"/>
          <w:lang w:eastAsia="en-US"/>
        </w:rPr>
        <w:t>，最终结算总价</w:t>
      </w:r>
      <w:r>
        <w:rPr>
          <w:rFonts w:ascii="宋体" w:hAnsi="宋体" w:eastAsia="宋体" w:cs="宋体"/>
          <w:b/>
          <w:bCs/>
          <w:snapToGrid w:val="0"/>
          <w:color w:val="auto"/>
          <w:spacing w:val="16"/>
          <w:kern w:val="0"/>
          <w:sz w:val="24"/>
          <w:szCs w:val="24"/>
          <w:highlight w:val="none"/>
          <w:lang w:eastAsia="en-US"/>
        </w:rPr>
        <w:t>不得超过</w:t>
      </w:r>
      <w:r>
        <w:rPr>
          <w:rFonts w:hint="eastAsia" w:ascii="宋体" w:hAnsi="宋体" w:cs="宋体"/>
          <w:b/>
          <w:bCs/>
          <w:snapToGrid w:val="0"/>
          <w:color w:val="auto"/>
          <w:spacing w:val="16"/>
          <w:kern w:val="0"/>
          <w:sz w:val="24"/>
          <w:szCs w:val="24"/>
          <w:highlight w:val="none"/>
          <w:lang w:val="en-US" w:eastAsia="zh-CN"/>
        </w:rPr>
        <w:t>每个标段50</w:t>
      </w:r>
      <w:r>
        <w:rPr>
          <w:rFonts w:hint="eastAsia" w:ascii="宋体" w:hAnsi="宋体" w:eastAsia="宋体" w:cs="宋体"/>
          <w:b/>
          <w:bCs/>
          <w:snapToGrid w:val="0"/>
          <w:color w:val="auto"/>
          <w:spacing w:val="16"/>
          <w:kern w:val="0"/>
          <w:sz w:val="24"/>
          <w:szCs w:val="24"/>
          <w:highlight w:val="none"/>
          <w:lang w:val="en-US" w:eastAsia="zh-CN"/>
        </w:rPr>
        <w:t>万元</w:t>
      </w:r>
      <w:r>
        <w:rPr>
          <w:rFonts w:ascii="宋体" w:hAnsi="宋体" w:eastAsia="宋体" w:cs="宋体"/>
          <w:b/>
          <w:bCs/>
          <w:snapToGrid w:val="0"/>
          <w:color w:val="auto"/>
          <w:spacing w:val="16"/>
          <w:kern w:val="0"/>
          <w:sz w:val="24"/>
          <w:szCs w:val="24"/>
          <w:highlight w:val="none"/>
          <w:lang w:eastAsia="en-US"/>
        </w:rPr>
        <w:t>。</w:t>
      </w:r>
    </w:p>
    <w:p w14:paraId="34DA815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jc w:val="left"/>
        <w:textAlignment w:val="baseline"/>
        <w:rPr>
          <w:rFonts w:hint="default"/>
          <w:color w:val="auto"/>
          <w:highlight w:val="none"/>
          <w:lang w:val="en-US" w:eastAsia="zh-CN"/>
        </w:rPr>
      </w:pPr>
    </w:p>
    <w:p w14:paraId="4C856575">
      <w:pPr>
        <w:adjustRightInd w:val="0"/>
        <w:spacing w:line="360" w:lineRule="auto"/>
        <w:ind w:firstLine="480" w:firstLineChars="200"/>
        <w:jc w:val="left"/>
        <w:rPr>
          <w:rFonts w:hint="eastAsia" w:ascii="宋体" w:hAnsi="宋体" w:cs="宋体"/>
          <w:color w:val="auto"/>
          <w:sz w:val="24"/>
          <w:szCs w:val="24"/>
          <w:highlight w:val="none"/>
        </w:rPr>
      </w:pPr>
    </w:p>
    <w:p w14:paraId="0E272065">
      <w:pPr>
        <w:adjustRightIn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            （盖章）</w:t>
      </w:r>
    </w:p>
    <w:p w14:paraId="4ACDCBA9">
      <w:pPr>
        <w:adjustRightInd w:val="0"/>
        <w:spacing w:line="360" w:lineRule="auto"/>
        <w:ind w:firstLine="480" w:firstLineChars="200"/>
        <w:jc w:val="left"/>
        <w:rPr>
          <w:rFonts w:hint="eastAsia" w:ascii="宋体" w:hAnsi="宋体" w:cs="宋体"/>
          <w:color w:val="auto"/>
          <w:sz w:val="24"/>
          <w:szCs w:val="24"/>
          <w:highlight w:val="none"/>
        </w:rPr>
      </w:pPr>
      <w:r>
        <w:rPr>
          <w:rFonts w:hint="eastAsia" w:cs="宋体"/>
          <w:color w:val="auto"/>
          <w:sz w:val="24"/>
          <w:szCs w:val="24"/>
          <w:highlight w:val="none"/>
          <w:lang w:eastAsia="zh-CN"/>
        </w:rPr>
        <w:t>法定代表人(负责人）</w:t>
      </w:r>
      <w:r>
        <w:rPr>
          <w:rFonts w:hint="eastAsia" w:ascii="宋体" w:hAnsi="宋体" w:cs="宋体"/>
          <w:color w:val="auto"/>
          <w:sz w:val="24"/>
          <w:szCs w:val="24"/>
          <w:highlight w:val="none"/>
        </w:rPr>
        <w:t>或代理人（签字或盖章）：</w:t>
      </w:r>
    </w:p>
    <w:p w14:paraId="67ABFF9F">
      <w:pPr>
        <w:adjustRightInd w:val="0"/>
        <w:spacing w:line="360" w:lineRule="auto"/>
        <w:ind w:firstLine="480" w:firstLineChars="200"/>
        <w:jc w:val="left"/>
        <w:rPr>
          <w:color w:val="auto"/>
          <w:sz w:val="24"/>
          <w:szCs w:val="24"/>
          <w:highlight w:val="none"/>
        </w:rPr>
      </w:pPr>
      <w:r>
        <w:rPr>
          <w:rFonts w:hint="eastAsia" w:ascii="宋体" w:hAnsi="宋体" w:cs="宋体"/>
          <w:color w:val="auto"/>
          <w:sz w:val="24"/>
          <w:szCs w:val="24"/>
          <w:highlight w:val="none"/>
        </w:rPr>
        <w:t>日期：    年    月    日</w:t>
      </w:r>
    </w:p>
    <w:p w14:paraId="3C904215">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17D85D3E">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023D6BE6">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65426F7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46721BAF">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CABEF91">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74869861">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8E43B2B">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0836782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3C3CE461">
      <w:pPr>
        <w:pStyle w:val="3"/>
        <w:overflowPunct w:val="0"/>
        <w:spacing w:line="360" w:lineRule="auto"/>
        <w:ind w:firstLine="0"/>
        <w:rPr>
          <w:rFonts w:ascii="宋体" w:hAnsi="宋体"/>
          <w:b/>
          <w:color w:val="auto"/>
          <w:sz w:val="28"/>
          <w:szCs w:val="28"/>
          <w:highlight w:val="none"/>
        </w:rPr>
      </w:pPr>
      <w:r>
        <w:rPr>
          <w:rFonts w:hint="eastAsia" w:ascii="宋体" w:hAnsi="宋体"/>
          <w:b/>
          <w:color w:val="auto"/>
          <w:sz w:val="32"/>
          <w:szCs w:val="32"/>
          <w:highlight w:val="none"/>
          <w:lang w:val="en-US" w:eastAsia="zh-CN"/>
        </w:rPr>
        <w:t>3</w:t>
      </w:r>
      <w:r>
        <w:rPr>
          <w:rFonts w:hint="eastAsia" w:ascii="宋体" w:hAnsi="宋体"/>
          <w:b/>
          <w:color w:val="auto"/>
          <w:sz w:val="32"/>
          <w:szCs w:val="32"/>
          <w:highlight w:val="none"/>
        </w:rPr>
        <w:t>、</w:t>
      </w:r>
      <w:r>
        <w:rPr>
          <w:rFonts w:hint="eastAsia" w:ascii="宋体" w:hAnsi="宋体"/>
          <w:b/>
          <w:color w:val="auto"/>
          <w:sz w:val="28"/>
          <w:szCs w:val="28"/>
          <w:highlight w:val="none"/>
        </w:rPr>
        <w:t>关于资格文件的声明函</w:t>
      </w:r>
    </w:p>
    <w:p w14:paraId="0BF76559">
      <w:pPr>
        <w:pStyle w:val="3"/>
        <w:overflowPunct w:val="0"/>
        <w:ind w:left="1260"/>
        <w:rPr>
          <w:rFonts w:ascii="宋体" w:hAnsi="宋体"/>
          <w:color w:val="auto"/>
          <w:sz w:val="30"/>
          <w:szCs w:val="30"/>
          <w:highlight w:val="none"/>
        </w:rPr>
      </w:pPr>
    </w:p>
    <w:p w14:paraId="5766F228">
      <w:pPr>
        <w:pStyle w:val="3"/>
        <w:overflowPunct w:val="0"/>
        <w:ind w:left="1260"/>
        <w:rPr>
          <w:rFonts w:ascii="宋体" w:hAnsi="宋体"/>
          <w:color w:val="auto"/>
          <w:sz w:val="30"/>
          <w:szCs w:val="30"/>
          <w:highlight w:val="none"/>
        </w:rPr>
      </w:pPr>
    </w:p>
    <w:p w14:paraId="3D2BAF4A">
      <w:pPr>
        <w:pStyle w:val="3"/>
        <w:overflowPunct w:val="0"/>
        <w:ind w:left="1260" w:leftChars="600" w:firstLine="1770" w:firstLineChars="590"/>
        <w:rPr>
          <w:rFonts w:ascii="宋体" w:hAnsi="宋体"/>
          <w:color w:val="auto"/>
          <w:sz w:val="30"/>
          <w:szCs w:val="30"/>
          <w:highlight w:val="none"/>
        </w:rPr>
      </w:pPr>
      <w:r>
        <w:rPr>
          <w:rFonts w:hint="eastAsia" w:ascii="宋体" w:hAnsi="宋体"/>
          <w:color w:val="auto"/>
          <w:sz w:val="30"/>
          <w:szCs w:val="30"/>
          <w:highlight w:val="none"/>
        </w:rPr>
        <w:t>关于资格文件的声明函</w:t>
      </w:r>
    </w:p>
    <w:p w14:paraId="2135FB3A">
      <w:pPr>
        <w:pStyle w:val="3"/>
        <w:overflowPunct w:val="0"/>
        <w:ind w:left="1260"/>
        <w:jc w:val="center"/>
        <w:rPr>
          <w:rFonts w:ascii="宋体" w:hAnsi="宋体"/>
          <w:color w:val="auto"/>
          <w:sz w:val="24"/>
          <w:szCs w:val="24"/>
          <w:highlight w:val="none"/>
        </w:rPr>
      </w:pPr>
    </w:p>
    <w:p w14:paraId="28BAF1F4">
      <w:pPr>
        <w:pStyle w:val="3"/>
        <w:overflowPunct w:val="0"/>
        <w:spacing w:line="500" w:lineRule="exact"/>
        <w:ind w:firstLine="0"/>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江苏启越工程管理有限公司</w:t>
      </w:r>
      <w:r>
        <w:rPr>
          <w:rFonts w:ascii="宋体" w:hAnsi="宋体"/>
          <w:color w:val="auto"/>
          <w:sz w:val="24"/>
          <w:szCs w:val="24"/>
          <w:highlight w:val="none"/>
          <w:u w:val="single"/>
        </w:rPr>
        <w:t xml:space="preserve">  </w:t>
      </w:r>
      <w:r>
        <w:rPr>
          <w:rFonts w:hint="eastAsia" w:ascii="宋体" w:hAnsi="宋体"/>
          <w:color w:val="auto"/>
          <w:sz w:val="24"/>
          <w:szCs w:val="24"/>
          <w:highlight w:val="none"/>
        </w:rPr>
        <w:t>：</w:t>
      </w:r>
    </w:p>
    <w:p w14:paraId="14A7204D">
      <w:pPr>
        <w:pStyle w:val="3"/>
        <w:overflowPunct w:val="0"/>
        <w:spacing w:line="500" w:lineRule="exact"/>
        <w:ind w:left="283" w:leftChars="135" w:right="445" w:rightChars="212" w:firstLine="540" w:firstLineChars="225"/>
        <w:jc w:val="left"/>
        <w:rPr>
          <w:rFonts w:ascii="宋体" w:hAnsi="宋体"/>
          <w:color w:val="auto"/>
          <w:sz w:val="24"/>
          <w:szCs w:val="24"/>
          <w:highlight w:val="none"/>
        </w:rPr>
      </w:pPr>
      <w:r>
        <w:rPr>
          <w:rFonts w:hint="eastAsia" w:ascii="宋体" w:hAnsi="宋体"/>
          <w:color w:val="auto"/>
          <w:sz w:val="24"/>
          <w:szCs w:val="24"/>
          <w:highlight w:val="none"/>
        </w:rPr>
        <w:t>本公司愿就由贵单位组织实施的编号为</w:t>
      </w:r>
      <w:r>
        <w:rPr>
          <w:rFonts w:hint="eastAsia" w:ascii="宋体" w:hAnsi="宋体"/>
          <w:color w:val="auto"/>
          <w:sz w:val="24"/>
          <w:szCs w:val="24"/>
          <w:highlight w:val="none"/>
          <w:lang w:val="en-US" w:eastAsia="zh-CN"/>
        </w:rPr>
        <w:t>___________</w:t>
      </w:r>
      <w:r>
        <w:rPr>
          <w:rFonts w:hint="eastAsia" w:ascii="宋体" w:hAnsi="宋体"/>
          <w:color w:val="auto"/>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43E2DF22">
      <w:pPr>
        <w:pStyle w:val="3"/>
        <w:overflowPunct w:val="0"/>
        <w:spacing w:line="500" w:lineRule="exact"/>
        <w:ind w:left="1259" w:firstLine="426"/>
        <w:rPr>
          <w:rFonts w:ascii="宋体" w:hAnsi="宋体"/>
          <w:color w:val="auto"/>
          <w:sz w:val="24"/>
          <w:szCs w:val="24"/>
          <w:highlight w:val="none"/>
        </w:rPr>
      </w:pPr>
    </w:p>
    <w:p w14:paraId="5A5F0E6D">
      <w:pPr>
        <w:pStyle w:val="3"/>
        <w:overflowPunct w:val="0"/>
        <w:spacing w:line="500" w:lineRule="exact"/>
        <w:ind w:left="1259" w:firstLine="426"/>
        <w:rPr>
          <w:rFonts w:ascii="宋体" w:hAnsi="宋体"/>
          <w:color w:val="auto"/>
          <w:sz w:val="24"/>
          <w:szCs w:val="24"/>
          <w:highlight w:val="none"/>
        </w:rPr>
      </w:pPr>
    </w:p>
    <w:p w14:paraId="4870C138">
      <w:pPr>
        <w:pStyle w:val="3"/>
        <w:overflowPunct w:val="0"/>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（单位盖章）：</w:t>
      </w:r>
    </w:p>
    <w:p w14:paraId="11A09DF8">
      <w:pPr>
        <w:pStyle w:val="3"/>
        <w:overflowPunct w:val="0"/>
        <w:spacing w:line="500" w:lineRule="exact"/>
        <w:rPr>
          <w:rFonts w:ascii="宋体" w:hAnsi="宋体"/>
          <w:color w:val="auto"/>
          <w:sz w:val="24"/>
          <w:szCs w:val="24"/>
          <w:highlight w:val="none"/>
        </w:rPr>
      </w:pPr>
      <w:r>
        <w:rPr>
          <w:rFonts w:hint="eastAsia" w:ascii="宋体" w:hAnsi="宋体"/>
          <w:color w:val="auto"/>
          <w:sz w:val="24"/>
          <w:szCs w:val="24"/>
          <w:highlight w:val="none"/>
        </w:rPr>
        <w:t>法定代表人或授权代理人（签字或盖章）：</w:t>
      </w:r>
    </w:p>
    <w:p w14:paraId="66E6FC09">
      <w:pPr>
        <w:ind w:firstLine="424" w:firstLineChars="177"/>
        <w:rPr>
          <w:rFonts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日</w:t>
      </w:r>
    </w:p>
    <w:p w14:paraId="7B775C50">
      <w:pPr>
        <w:rPr>
          <w:rFonts w:ascii="宋体" w:hAnsi="宋体"/>
          <w:color w:val="auto"/>
          <w:sz w:val="24"/>
          <w:szCs w:val="24"/>
          <w:highlight w:val="none"/>
        </w:rPr>
      </w:pPr>
    </w:p>
    <w:p w14:paraId="6B19E50C">
      <w:pPr>
        <w:rPr>
          <w:rFonts w:ascii="宋体" w:hAnsi="宋体"/>
          <w:color w:val="auto"/>
          <w:sz w:val="24"/>
          <w:szCs w:val="24"/>
          <w:highlight w:val="none"/>
        </w:rPr>
      </w:pPr>
    </w:p>
    <w:p w14:paraId="30DBA6DE">
      <w:pPr>
        <w:rPr>
          <w:rFonts w:ascii="宋体" w:hAnsi="宋体"/>
          <w:color w:val="auto"/>
          <w:sz w:val="24"/>
          <w:szCs w:val="24"/>
          <w:highlight w:val="none"/>
        </w:rPr>
      </w:pPr>
    </w:p>
    <w:p w14:paraId="6555A1D4">
      <w:pPr>
        <w:rPr>
          <w:rFonts w:ascii="宋体" w:hAnsi="宋体"/>
          <w:color w:val="auto"/>
          <w:sz w:val="24"/>
          <w:szCs w:val="24"/>
          <w:highlight w:val="none"/>
        </w:rPr>
      </w:pPr>
    </w:p>
    <w:p w14:paraId="56CDC9D2">
      <w:pPr>
        <w:rPr>
          <w:rFonts w:ascii="宋体" w:hAnsi="宋体"/>
          <w:color w:val="auto"/>
          <w:sz w:val="24"/>
          <w:szCs w:val="24"/>
          <w:highlight w:val="none"/>
        </w:rPr>
      </w:pPr>
    </w:p>
    <w:p w14:paraId="4591BE4F">
      <w:pPr>
        <w:rPr>
          <w:rFonts w:ascii="宋体" w:hAnsi="宋体"/>
          <w:color w:val="auto"/>
          <w:sz w:val="24"/>
          <w:szCs w:val="24"/>
          <w:highlight w:val="none"/>
        </w:rPr>
      </w:pPr>
    </w:p>
    <w:p w14:paraId="259FBED2">
      <w:pPr>
        <w:rPr>
          <w:rFonts w:ascii="宋体" w:hAnsi="宋体"/>
          <w:color w:val="auto"/>
          <w:sz w:val="24"/>
          <w:szCs w:val="24"/>
          <w:highlight w:val="none"/>
        </w:rPr>
      </w:pPr>
    </w:p>
    <w:p w14:paraId="4E19BAF7">
      <w:pPr>
        <w:pStyle w:val="21"/>
        <w:ind w:firstLine="480"/>
        <w:rPr>
          <w:rFonts w:hAnsi="宋体"/>
          <w:color w:val="auto"/>
          <w:sz w:val="24"/>
          <w:szCs w:val="24"/>
          <w:highlight w:val="none"/>
        </w:rPr>
      </w:pPr>
    </w:p>
    <w:p w14:paraId="0076395F">
      <w:pPr>
        <w:rPr>
          <w:rFonts w:ascii="宋体" w:hAnsi="宋体"/>
          <w:color w:val="auto"/>
          <w:sz w:val="24"/>
          <w:szCs w:val="24"/>
          <w:highlight w:val="none"/>
        </w:rPr>
      </w:pPr>
    </w:p>
    <w:p w14:paraId="33894850">
      <w:pPr>
        <w:pStyle w:val="21"/>
        <w:ind w:firstLine="480"/>
        <w:rPr>
          <w:rFonts w:hAnsi="宋体"/>
          <w:color w:val="auto"/>
          <w:sz w:val="24"/>
          <w:szCs w:val="24"/>
          <w:highlight w:val="none"/>
        </w:rPr>
      </w:pPr>
    </w:p>
    <w:p w14:paraId="0AF81346">
      <w:pPr>
        <w:rPr>
          <w:rFonts w:ascii="宋体" w:hAnsi="宋体"/>
          <w:color w:val="auto"/>
          <w:sz w:val="24"/>
          <w:szCs w:val="24"/>
          <w:highlight w:val="none"/>
        </w:rPr>
      </w:pPr>
    </w:p>
    <w:p w14:paraId="537A8D11">
      <w:pPr>
        <w:adjustRightInd w:val="0"/>
        <w:textAlignment w:val="baseline"/>
        <w:rPr>
          <w:rFonts w:hint="eastAsia" w:ascii="宋体" w:hAnsi="宋体"/>
          <w:b/>
          <w:color w:val="auto"/>
          <w:sz w:val="32"/>
          <w:szCs w:val="32"/>
          <w:highlight w:val="none"/>
          <w:lang w:val="en-US" w:eastAsia="zh-CN"/>
        </w:rPr>
      </w:pPr>
    </w:p>
    <w:p w14:paraId="6ADE2F4A">
      <w:pPr>
        <w:adjustRightInd w:val="0"/>
        <w:textAlignment w:val="baseline"/>
        <w:rPr>
          <w:rFonts w:hint="eastAsia" w:ascii="宋体" w:hAnsi="宋体"/>
          <w:b/>
          <w:color w:val="auto"/>
          <w:sz w:val="32"/>
          <w:szCs w:val="32"/>
          <w:highlight w:val="none"/>
          <w:lang w:val="en-US" w:eastAsia="zh-CN"/>
        </w:rPr>
      </w:pPr>
    </w:p>
    <w:p w14:paraId="41310EC1">
      <w:pPr>
        <w:adjustRightInd w:val="0"/>
        <w:textAlignment w:val="baseline"/>
        <w:rPr>
          <w:rFonts w:hint="eastAsia" w:ascii="宋体" w:hAnsi="宋体"/>
          <w:b/>
          <w:color w:val="auto"/>
          <w:sz w:val="32"/>
          <w:szCs w:val="32"/>
          <w:highlight w:val="none"/>
          <w:lang w:val="en-US" w:eastAsia="zh-CN"/>
        </w:rPr>
      </w:pPr>
    </w:p>
    <w:p w14:paraId="3EEC3616">
      <w:pPr>
        <w:adjustRightInd w:val="0"/>
        <w:textAlignment w:val="baseline"/>
        <w:rPr>
          <w:rFonts w:hint="eastAsia" w:ascii="宋体" w:hAnsi="宋体"/>
          <w:b/>
          <w:color w:val="auto"/>
          <w:sz w:val="32"/>
          <w:szCs w:val="32"/>
          <w:highlight w:val="none"/>
          <w:lang w:val="en-US" w:eastAsia="zh-CN"/>
        </w:rPr>
      </w:pPr>
    </w:p>
    <w:p w14:paraId="18602B03">
      <w:pPr>
        <w:adjustRightInd w:val="0"/>
        <w:textAlignment w:val="baseline"/>
        <w:rPr>
          <w:rFonts w:hint="eastAsia" w:ascii="宋体" w:hAnsi="宋体"/>
          <w:b/>
          <w:color w:val="auto"/>
          <w:sz w:val="32"/>
          <w:szCs w:val="32"/>
          <w:highlight w:val="none"/>
          <w:lang w:val="en-US" w:eastAsia="zh-CN"/>
        </w:rPr>
      </w:pPr>
    </w:p>
    <w:p w14:paraId="6E8C6FD7">
      <w:pPr>
        <w:adjustRightInd w:val="0"/>
        <w:textAlignment w:val="baseline"/>
        <w:rPr>
          <w:rFonts w:hint="eastAsia" w:ascii="宋体" w:hAnsi="宋体"/>
          <w:b/>
          <w:color w:val="auto"/>
          <w:sz w:val="32"/>
          <w:szCs w:val="32"/>
          <w:highlight w:val="none"/>
          <w:lang w:val="en-US" w:eastAsia="zh-CN"/>
        </w:rPr>
      </w:pPr>
    </w:p>
    <w:p w14:paraId="0C567756">
      <w:pPr>
        <w:adjustRightInd w:val="0"/>
        <w:textAlignment w:val="baseline"/>
        <w:rPr>
          <w:rFonts w:hint="eastAsia" w:ascii="宋体" w:hAnsi="宋体"/>
          <w:b/>
          <w:color w:val="auto"/>
          <w:sz w:val="32"/>
          <w:szCs w:val="32"/>
          <w:highlight w:val="none"/>
          <w:lang w:val="en-US" w:eastAsia="zh-CN"/>
        </w:rPr>
      </w:pPr>
    </w:p>
    <w:p w14:paraId="719A4942">
      <w:pPr>
        <w:adjustRightInd w:val="0"/>
        <w:textAlignment w:val="baseline"/>
        <w:rPr>
          <w:rFonts w:hint="eastAsia" w:ascii="宋体" w:hAnsi="宋体"/>
          <w:b/>
          <w:color w:val="auto"/>
          <w:sz w:val="32"/>
          <w:szCs w:val="32"/>
          <w:highlight w:val="none"/>
          <w:lang w:val="en-US" w:eastAsia="zh-CN"/>
        </w:rPr>
      </w:pPr>
    </w:p>
    <w:p w14:paraId="1B5E4F15">
      <w:pPr>
        <w:adjustRightInd w:val="0"/>
        <w:textAlignment w:val="baseline"/>
        <w:rPr>
          <w:rFonts w:hint="eastAsia" w:ascii="宋体" w:hAnsi="宋体"/>
          <w:b/>
          <w:color w:val="auto"/>
          <w:sz w:val="32"/>
          <w:szCs w:val="32"/>
          <w:highlight w:val="none"/>
          <w:lang w:val="en-US" w:eastAsia="zh-CN"/>
        </w:rPr>
      </w:pPr>
    </w:p>
    <w:p w14:paraId="5F3F6DD9">
      <w:pPr>
        <w:adjustRightInd w:val="0"/>
        <w:textAlignment w:val="baseline"/>
        <w:rPr>
          <w:rFonts w:hint="eastAsia" w:ascii="宋体" w:hAnsi="宋体"/>
          <w:b/>
          <w:color w:val="auto"/>
          <w:sz w:val="32"/>
          <w:szCs w:val="32"/>
          <w:highlight w:val="none"/>
          <w:lang w:val="en-US" w:eastAsia="zh-CN"/>
        </w:rPr>
      </w:pPr>
    </w:p>
    <w:p w14:paraId="1F4D7C93">
      <w:pPr>
        <w:adjustRightInd w:val="0"/>
        <w:textAlignment w:val="baseline"/>
        <w:rPr>
          <w:rFonts w:ascii="宋体" w:hAnsi="宋体"/>
          <w:b/>
          <w:color w:val="auto"/>
          <w:sz w:val="32"/>
          <w:szCs w:val="32"/>
          <w:highlight w:val="none"/>
        </w:rPr>
      </w:pPr>
      <w:r>
        <w:rPr>
          <w:rFonts w:hint="eastAsia" w:ascii="宋体" w:hAnsi="宋体"/>
          <w:b/>
          <w:color w:val="auto"/>
          <w:sz w:val="32"/>
          <w:szCs w:val="32"/>
          <w:highlight w:val="none"/>
          <w:lang w:val="en-US" w:eastAsia="zh-CN"/>
        </w:rPr>
        <w:t>4</w:t>
      </w:r>
      <w:r>
        <w:rPr>
          <w:rFonts w:hint="eastAsia" w:ascii="宋体" w:hAnsi="宋体"/>
          <w:b/>
          <w:color w:val="auto"/>
          <w:sz w:val="32"/>
          <w:szCs w:val="32"/>
          <w:highlight w:val="none"/>
        </w:rPr>
        <w:t>、投标承诺函</w:t>
      </w:r>
    </w:p>
    <w:p w14:paraId="0F928E71">
      <w:pPr>
        <w:adjustRightInd w:val="0"/>
        <w:spacing w:line="360" w:lineRule="exact"/>
        <w:jc w:val="center"/>
        <w:textAlignment w:val="baseline"/>
        <w:rPr>
          <w:rFonts w:ascii="宋体" w:hAnsi="宋体"/>
          <w:b/>
          <w:color w:val="auto"/>
          <w:sz w:val="32"/>
          <w:highlight w:val="none"/>
        </w:rPr>
      </w:pPr>
    </w:p>
    <w:p w14:paraId="13416C5D">
      <w:pPr>
        <w:adjustRightInd w:val="0"/>
        <w:spacing w:line="360" w:lineRule="exact"/>
        <w:jc w:val="center"/>
        <w:textAlignment w:val="baseline"/>
        <w:rPr>
          <w:rFonts w:ascii="宋体" w:hAnsi="宋体"/>
          <w:b/>
          <w:color w:val="auto"/>
          <w:sz w:val="32"/>
          <w:highlight w:val="none"/>
        </w:rPr>
      </w:pPr>
      <w:r>
        <w:rPr>
          <w:rFonts w:hint="eastAsia" w:ascii="宋体" w:hAnsi="宋体"/>
          <w:b/>
          <w:color w:val="auto"/>
          <w:sz w:val="32"/>
          <w:highlight w:val="none"/>
        </w:rPr>
        <w:t>投标承诺函</w:t>
      </w:r>
    </w:p>
    <w:p w14:paraId="1270A9C4">
      <w:pPr>
        <w:adjustRightInd w:val="0"/>
        <w:spacing w:line="360" w:lineRule="exact"/>
        <w:ind w:firstLine="240" w:firstLineChars="100"/>
        <w:textAlignment w:val="baseline"/>
        <w:rPr>
          <w:rFonts w:ascii="宋体" w:hAnsi="宋体"/>
          <w:color w:val="auto"/>
          <w:sz w:val="24"/>
          <w:highlight w:val="none"/>
        </w:rPr>
      </w:pPr>
      <w:r>
        <w:rPr>
          <w:rFonts w:hint="eastAsia" w:ascii="宋体" w:hAnsi="宋体"/>
          <w:color w:val="auto"/>
          <w:sz w:val="24"/>
          <w:highlight w:val="none"/>
          <w:u w:val="single"/>
        </w:rPr>
        <w:t xml:space="preserve">江苏启越工程管理有限公司 </w:t>
      </w:r>
      <w:r>
        <w:rPr>
          <w:rFonts w:hint="eastAsia" w:ascii="宋体" w:hAnsi="宋体"/>
          <w:color w:val="auto"/>
          <w:sz w:val="24"/>
          <w:highlight w:val="none"/>
        </w:rPr>
        <w:t>：</w:t>
      </w:r>
    </w:p>
    <w:p w14:paraId="77AAE7CF">
      <w:pPr>
        <w:adjustRightInd w:val="0"/>
        <w:spacing w:line="360" w:lineRule="exact"/>
        <w:textAlignment w:val="baseline"/>
        <w:rPr>
          <w:rFonts w:ascii="宋体" w:hAnsi="宋体"/>
          <w:color w:val="auto"/>
          <w:sz w:val="24"/>
          <w:highlight w:val="none"/>
        </w:rPr>
      </w:pPr>
      <w:r>
        <w:rPr>
          <w:rFonts w:ascii="宋体" w:hAnsi="宋体"/>
          <w:color w:val="auto"/>
          <w:sz w:val="24"/>
          <w:highlight w:val="none"/>
        </w:rPr>
        <w:t xml:space="preserve">    </w:t>
      </w:r>
    </w:p>
    <w:p w14:paraId="439C07B6">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我们收到贵单位</w:t>
      </w:r>
      <w:r>
        <w:rPr>
          <w:rFonts w:hint="eastAsia" w:ascii="宋体" w:hAnsi="宋体" w:cs="宋体"/>
          <w:color w:val="auto"/>
          <w:sz w:val="24"/>
          <w:szCs w:val="24"/>
          <w:highlight w:val="none"/>
          <w:lang w:eastAsia="zh-CN"/>
        </w:rPr>
        <w:t>2026年度港区建设项目环评和危废发证技术评估</w:t>
      </w:r>
      <w:r>
        <w:rPr>
          <w:rFonts w:hint="eastAsia" w:ascii="宋体" w:hAnsi="宋体"/>
          <w:color w:val="auto"/>
          <w:sz w:val="24"/>
          <w:highlight w:val="none"/>
        </w:rPr>
        <w:t>招标文件（项目编号：</w:t>
      </w:r>
      <w:r>
        <w:rPr>
          <w:rFonts w:hint="eastAsia" w:ascii="宋体" w:hAnsi="宋体"/>
          <w:color w:val="auto"/>
          <w:sz w:val="24"/>
          <w:highlight w:val="none"/>
          <w:lang w:val="en-US" w:eastAsia="zh-CN"/>
        </w:rPr>
        <w:t>____________</w:t>
      </w:r>
      <w:r>
        <w:rPr>
          <w:rFonts w:hint="eastAsia" w:ascii="宋体" w:hAnsi="宋体"/>
          <w:color w:val="auto"/>
          <w:sz w:val="24"/>
          <w:highlight w:val="none"/>
        </w:rPr>
        <w:t>），经仔细阅读和研究，我们决定参加投标。</w:t>
      </w:r>
    </w:p>
    <w:p w14:paraId="7577E88C">
      <w:pPr>
        <w:spacing w:line="440" w:lineRule="exact"/>
        <w:ind w:firstLine="240"/>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、我们愿意按照招标文件的一切要求，提供包括完成该项目全部内容的设备、材料及人工、机械、保险、劳保、各种税费以及质保期间的一切费用。</w:t>
      </w:r>
    </w:p>
    <w:p w14:paraId="19A89FE3">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、如果我们的投标书被接受，我们将严格履行招标文件中规定的每一项要求，按期、按质、按量履行合同的义务。</w:t>
      </w:r>
    </w:p>
    <w:p w14:paraId="78102A47">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90</w:t>
      </w:r>
      <w:r>
        <w:rPr>
          <w:rFonts w:hint="eastAsia" w:ascii="宋体" w:hAnsi="宋体"/>
          <w:color w:val="auto"/>
          <w:sz w:val="24"/>
          <w:highlight w:val="none"/>
          <w:u w:val="single"/>
        </w:rPr>
        <w:t xml:space="preserve">  </w:t>
      </w:r>
      <w:r>
        <w:rPr>
          <w:rFonts w:hint="eastAsia" w:ascii="宋体" w:hAnsi="宋体"/>
          <w:color w:val="auto"/>
          <w:sz w:val="24"/>
          <w:highlight w:val="none"/>
        </w:rPr>
        <w:t>天。</w:t>
      </w:r>
    </w:p>
    <w:p w14:paraId="590DDE7B">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、我们愿意提供招标方在招标文件中要求的所有资料。</w:t>
      </w:r>
    </w:p>
    <w:p w14:paraId="7EF6F82D">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、我们认为你们有权决定中标者，还认为你们有权接受或拒绝所有的投标者。</w:t>
      </w:r>
    </w:p>
    <w:p w14:paraId="11C3990C">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w:t>
      </w:r>
      <w:r>
        <w:rPr>
          <w:color w:val="auto"/>
          <w:sz w:val="24"/>
          <w:szCs w:val="24"/>
          <w:highlight w:val="none"/>
        </w:rPr>
        <w:t>我们完全理解贵方不一定要接受最低报价的投标或收到的任何投标。</w:t>
      </w:r>
    </w:p>
    <w:p w14:paraId="59453760">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、我们承诺该项投标在开标后的全过程中保持有效，不作任何更改和变动。</w:t>
      </w:r>
    </w:p>
    <w:p w14:paraId="58690DC8">
      <w:pPr>
        <w:adjustRightInd w:val="0"/>
        <w:spacing w:line="440" w:lineRule="exact"/>
        <w:ind w:firstLine="480"/>
        <w:textAlignment w:val="baseline"/>
        <w:rPr>
          <w:rFonts w:ascii="宋体" w:hAnsi="宋体"/>
          <w:color w:val="auto"/>
          <w:sz w:val="24"/>
          <w:highlight w:val="none"/>
        </w:rPr>
      </w:pPr>
      <w:r>
        <w:rPr>
          <w:rFonts w:hint="eastAsia" w:ascii="宋体" w:hAnsi="宋体"/>
          <w:color w:val="auto"/>
          <w:sz w:val="24"/>
          <w:highlight w:val="none"/>
        </w:rPr>
        <w:t>8、综合说明：</w:t>
      </w:r>
    </w:p>
    <w:p w14:paraId="38B80E8B">
      <w:pPr>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）伴随服务及配合措施；</w:t>
      </w:r>
    </w:p>
    <w:p w14:paraId="09D99CC6">
      <w:pPr>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）要求甲方提供的配合；</w:t>
      </w:r>
    </w:p>
    <w:p w14:paraId="17BEF58C">
      <w:pPr>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）对招标文件有不同意见的偏离说明；</w:t>
      </w:r>
    </w:p>
    <w:p w14:paraId="1EE4275E">
      <w:pPr>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）其它说明。</w:t>
      </w:r>
    </w:p>
    <w:p w14:paraId="1A0352A2">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所有有关标书的函电，请按下列地址联系：</w:t>
      </w:r>
    </w:p>
    <w:p w14:paraId="617C11B4">
      <w:pPr>
        <w:adjustRightInd w:val="0"/>
        <w:spacing w:line="440" w:lineRule="exact"/>
        <w:textAlignment w:val="baseline"/>
        <w:rPr>
          <w:rFonts w:ascii="宋体" w:hAnsi="宋体"/>
          <w:color w:val="auto"/>
          <w:sz w:val="24"/>
          <w:highlight w:val="none"/>
        </w:rPr>
      </w:pPr>
    </w:p>
    <w:p w14:paraId="6190B89F">
      <w:pPr>
        <w:adjustRightInd w:val="0"/>
        <w:spacing w:line="440" w:lineRule="exact"/>
        <w:textAlignment w:val="baseline"/>
        <w:rPr>
          <w:rFonts w:ascii="宋体" w:hAnsi="宋体"/>
          <w:color w:val="auto"/>
          <w:sz w:val="24"/>
          <w:highlight w:val="none"/>
        </w:rPr>
      </w:pPr>
      <w:r>
        <w:rPr>
          <w:rFonts w:hint="eastAsia" w:ascii="宋体" w:hAnsi="宋体"/>
          <w:color w:val="auto"/>
          <w:sz w:val="24"/>
          <w:highlight w:val="none"/>
        </w:rPr>
        <w:t>单位：                         联系人：</w:t>
      </w:r>
    </w:p>
    <w:p w14:paraId="34A2412C">
      <w:pPr>
        <w:adjustRightInd w:val="0"/>
        <w:spacing w:line="440" w:lineRule="exact"/>
        <w:textAlignment w:val="baseline"/>
        <w:rPr>
          <w:rFonts w:ascii="宋体" w:hAnsi="宋体"/>
          <w:color w:val="auto"/>
          <w:sz w:val="24"/>
          <w:highlight w:val="none"/>
        </w:rPr>
      </w:pPr>
      <w:r>
        <w:rPr>
          <w:rFonts w:hint="eastAsia" w:ascii="宋体" w:hAnsi="宋体"/>
          <w:color w:val="auto"/>
          <w:sz w:val="24"/>
          <w:highlight w:val="none"/>
        </w:rPr>
        <w:t>地址：                         邮政编码：</w:t>
      </w:r>
    </w:p>
    <w:p w14:paraId="6218C6F0">
      <w:pPr>
        <w:adjustRightInd w:val="0"/>
        <w:spacing w:line="440" w:lineRule="exact"/>
        <w:textAlignment w:val="baseline"/>
        <w:rPr>
          <w:rFonts w:ascii="宋体" w:hAnsi="宋体"/>
          <w:color w:val="auto"/>
          <w:sz w:val="24"/>
          <w:highlight w:val="none"/>
        </w:rPr>
      </w:pPr>
      <w:r>
        <w:rPr>
          <w:rFonts w:hint="eastAsia" w:ascii="宋体" w:hAnsi="宋体"/>
          <w:color w:val="auto"/>
          <w:sz w:val="24"/>
          <w:highlight w:val="none"/>
        </w:rPr>
        <w:t>联系电话：                     传真：</w:t>
      </w:r>
    </w:p>
    <w:p w14:paraId="1770BA29">
      <w:pPr>
        <w:adjustRightInd w:val="0"/>
        <w:spacing w:line="460" w:lineRule="exact"/>
        <w:textAlignment w:val="baseline"/>
        <w:rPr>
          <w:rFonts w:ascii="宋体" w:hAnsi="宋体"/>
          <w:color w:val="auto"/>
          <w:sz w:val="24"/>
          <w:highlight w:val="none"/>
        </w:rPr>
      </w:pPr>
    </w:p>
    <w:p w14:paraId="60A47F3C">
      <w:pPr>
        <w:adjustRightInd w:val="0"/>
        <w:spacing w:line="460" w:lineRule="exact"/>
        <w:textAlignment w:val="baseline"/>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：（单位盖章）</w:t>
      </w:r>
    </w:p>
    <w:p w14:paraId="14715B70">
      <w:pPr>
        <w:spacing w:line="460" w:lineRule="exact"/>
        <w:rPr>
          <w:rFonts w:ascii="宋体" w:hAnsi="宋体"/>
          <w:color w:val="auto"/>
          <w:sz w:val="24"/>
          <w:highlight w:val="none"/>
        </w:rPr>
      </w:pPr>
      <w:r>
        <w:rPr>
          <w:rFonts w:hint="eastAsia" w:ascii="宋体" w:hAnsi="宋体"/>
          <w:color w:val="auto"/>
          <w:sz w:val="24"/>
          <w:highlight w:val="none"/>
        </w:rPr>
        <w:t>法定代表人或授权代理人（签字或盖章）</w:t>
      </w:r>
    </w:p>
    <w:p w14:paraId="2149A18B">
      <w:pPr>
        <w:spacing w:line="460" w:lineRule="exact"/>
        <w:rPr>
          <w:rFonts w:ascii="宋体" w:hAnsi="宋体"/>
          <w:color w:val="auto"/>
          <w:sz w:val="24"/>
          <w:szCs w:val="24"/>
          <w:highlight w:val="none"/>
        </w:rPr>
      </w:pPr>
      <w:r>
        <w:rPr>
          <w:rFonts w:hint="eastAsia" w:ascii="宋体" w:hAnsi="宋体"/>
          <w:color w:val="auto"/>
          <w:sz w:val="24"/>
          <w:highlight w:val="none"/>
        </w:rPr>
        <w:t>日期：          年</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rPr>
        <w:t xml:space="preserve">     </w:t>
      </w:r>
      <w:r>
        <w:rPr>
          <w:rFonts w:hint="eastAsia" w:ascii="宋体" w:hAnsi="宋体"/>
          <w:color w:val="auto"/>
          <w:sz w:val="24"/>
          <w:highlight w:val="none"/>
        </w:rPr>
        <w:t>日</w:t>
      </w:r>
    </w:p>
    <w:p w14:paraId="2E343737">
      <w:pPr>
        <w:rPr>
          <w:rFonts w:ascii="宋体" w:hAnsi="宋体"/>
          <w:b/>
          <w:color w:val="auto"/>
          <w:sz w:val="32"/>
          <w:szCs w:val="32"/>
          <w:highlight w:val="none"/>
        </w:rPr>
      </w:pPr>
    </w:p>
    <w:p w14:paraId="5291731E">
      <w:pPr>
        <w:overflowPunct w:val="0"/>
        <w:spacing w:line="360" w:lineRule="auto"/>
        <w:ind w:right="-210" w:rightChars="-100"/>
        <w:rPr>
          <w:rFonts w:hint="eastAsia" w:ascii="宋体" w:hAnsi="宋体"/>
          <w:b/>
          <w:color w:val="auto"/>
          <w:sz w:val="32"/>
          <w:szCs w:val="32"/>
          <w:highlight w:val="none"/>
          <w:lang w:val="en-US" w:eastAsia="zh-CN"/>
        </w:rPr>
      </w:pPr>
    </w:p>
    <w:p w14:paraId="167F5D23">
      <w:pPr>
        <w:overflowPunct w:val="0"/>
        <w:spacing w:line="360" w:lineRule="auto"/>
        <w:ind w:right="-210" w:rightChars="-100"/>
        <w:rPr>
          <w:rFonts w:hint="eastAsia" w:ascii="宋体" w:hAnsi="宋体"/>
          <w:b/>
          <w:color w:val="auto"/>
          <w:sz w:val="32"/>
          <w:szCs w:val="32"/>
          <w:highlight w:val="none"/>
          <w:lang w:val="en-US" w:eastAsia="zh-CN"/>
        </w:rPr>
      </w:pPr>
    </w:p>
    <w:p w14:paraId="6152DBB4">
      <w:pPr>
        <w:overflowPunct w:val="0"/>
        <w:spacing w:line="360" w:lineRule="auto"/>
        <w:ind w:right="-210" w:rightChars="-100"/>
        <w:rPr>
          <w:rFonts w:ascii="宋体" w:hAnsi="宋体"/>
          <w:b/>
          <w:color w:val="auto"/>
          <w:sz w:val="32"/>
          <w:szCs w:val="32"/>
          <w:highlight w:val="none"/>
        </w:rPr>
      </w:pPr>
      <w:r>
        <w:rPr>
          <w:rFonts w:hint="eastAsia" w:ascii="宋体" w:hAnsi="宋体"/>
          <w:b/>
          <w:color w:val="auto"/>
          <w:sz w:val="32"/>
          <w:szCs w:val="32"/>
          <w:highlight w:val="none"/>
          <w:lang w:val="en-US" w:eastAsia="zh-CN"/>
        </w:rPr>
        <w:t>5</w:t>
      </w:r>
      <w:r>
        <w:rPr>
          <w:rFonts w:hint="eastAsia" w:ascii="宋体" w:hAnsi="宋体"/>
          <w:b/>
          <w:color w:val="auto"/>
          <w:sz w:val="32"/>
          <w:szCs w:val="32"/>
          <w:highlight w:val="none"/>
        </w:rPr>
        <w:t>、参加政府采购活动前三年内，在经营活动中没有重大违法记录声明</w:t>
      </w:r>
    </w:p>
    <w:p w14:paraId="631652EB">
      <w:pPr>
        <w:spacing w:line="360" w:lineRule="auto"/>
        <w:ind w:left="-210" w:leftChars="-100" w:right="-210" w:rightChars="-100"/>
        <w:rPr>
          <w:rFonts w:ascii="宋体" w:hAnsi="宋体" w:cs="宋体"/>
          <w:b/>
          <w:color w:val="auto"/>
          <w:sz w:val="24"/>
          <w:highlight w:val="none"/>
        </w:rPr>
      </w:pPr>
    </w:p>
    <w:p w14:paraId="02CEA98E">
      <w:pPr>
        <w:spacing w:line="360" w:lineRule="auto"/>
        <w:jc w:val="center"/>
        <w:rPr>
          <w:rFonts w:ascii="宋体" w:hAnsi="宋体"/>
          <w:color w:val="auto"/>
          <w:sz w:val="24"/>
          <w:highlight w:val="none"/>
        </w:rPr>
      </w:pPr>
      <w:r>
        <w:rPr>
          <w:rFonts w:hint="eastAsia" w:ascii="宋体" w:hAnsi="宋体" w:cs="宋体"/>
          <w:b/>
          <w:color w:val="auto"/>
          <w:sz w:val="24"/>
          <w:highlight w:val="none"/>
        </w:rPr>
        <w:t>参加政府采购活动前三年内，在经营活动中没有重大违法记录声明</w:t>
      </w:r>
    </w:p>
    <w:p w14:paraId="4706BA81">
      <w:pPr>
        <w:spacing w:line="360" w:lineRule="auto"/>
        <w:rPr>
          <w:rFonts w:ascii="宋体" w:hAnsi="宋体"/>
          <w:color w:val="auto"/>
          <w:sz w:val="24"/>
          <w:highlight w:val="none"/>
        </w:rPr>
      </w:pPr>
    </w:p>
    <w:p w14:paraId="5E48E607">
      <w:pPr>
        <w:spacing w:line="360" w:lineRule="auto"/>
        <w:rPr>
          <w:rFonts w:ascii="宋体" w:hAnsi="宋体"/>
          <w:color w:val="auto"/>
          <w:sz w:val="24"/>
          <w:highlight w:val="none"/>
        </w:rPr>
      </w:pPr>
      <w:r>
        <w:rPr>
          <w:rFonts w:hint="eastAsia" w:ascii="宋体" w:hAnsi="宋体"/>
          <w:color w:val="auto"/>
          <w:sz w:val="24"/>
          <w:highlight w:val="none"/>
        </w:rPr>
        <w:t>致：江苏启越工程管理有限公司：</w:t>
      </w:r>
    </w:p>
    <w:p w14:paraId="68EEF963">
      <w:pPr>
        <w:spacing w:line="360" w:lineRule="auto"/>
        <w:ind w:firstLine="420"/>
        <w:rPr>
          <w:rFonts w:ascii="宋体" w:hAnsi="宋体"/>
          <w:color w:val="auto"/>
          <w:sz w:val="24"/>
          <w:highlight w:val="none"/>
        </w:rPr>
      </w:pPr>
      <w:r>
        <w:rPr>
          <w:rFonts w:hint="eastAsia" w:ascii="宋体" w:hAnsi="宋体"/>
          <w:color w:val="auto"/>
          <w:sz w:val="24"/>
          <w:highlight w:val="none"/>
        </w:rPr>
        <w:t>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p>
    <w:p w14:paraId="6257C24C">
      <w:pPr>
        <w:spacing w:line="360" w:lineRule="auto"/>
        <w:ind w:firstLine="420"/>
        <w:rPr>
          <w:rFonts w:ascii="宋体" w:hAnsi="宋体"/>
          <w:color w:val="auto"/>
          <w:sz w:val="24"/>
          <w:highlight w:val="none"/>
        </w:rPr>
      </w:pPr>
      <w:r>
        <w:rPr>
          <w:rFonts w:hint="eastAsia" w:ascii="宋体" w:hAnsi="宋体"/>
          <w:color w:val="auto"/>
          <w:sz w:val="24"/>
          <w:highlight w:val="none"/>
        </w:rPr>
        <w:t>若</w:t>
      </w:r>
      <w:r>
        <w:rPr>
          <w:rFonts w:hint="eastAsia" w:ascii="宋体" w:hAnsi="宋体"/>
          <w:color w:val="auto"/>
          <w:sz w:val="24"/>
          <w:szCs w:val="24"/>
          <w:highlight w:val="none"/>
        </w:rPr>
        <w:t>采购代理机构</w:t>
      </w:r>
      <w:r>
        <w:rPr>
          <w:rFonts w:hint="eastAsia" w:ascii="宋体" w:hAnsi="宋体"/>
          <w:color w:val="auto"/>
          <w:sz w:val="24"/>
          <w:highlight w:val="none"/>
        </w:rPr>
        <w:t>在本项目采购过程中发现我单位近三年内在政府采购活动中有重大违法记录，我单位将无条件退出本项目的招标，并承担因此引起的一起后果。</w:t>
      </w:r>
    </w:p>
    <w:p w14:paraId="18173D23">
      <w:pPr>
        <w:spacing w:line="360" w:lineRule="auto"/>
        <w:ind w:firstLine="420"/>
        <w:rPr>
          <w:rFonts w:ascii="宋体" w:hAnsi="宋体"/>
          <w:color w:val="auto"/>
          <w:sz w:val="24"/>
          <w:highlight w:val="none"/>
        </w:rPr>
      </w:pPr>
    </w:p>
    <w:p w14:paraId="16EEAE0A">
      <w:pPr>
        <w:spacing w:line="360" w:lineRule="auto"/>
        <w:ind w:firstLine="420"/>
        <w:rPr>
          <w:rFonts w:ascii="宋体" w:hAnsi="宋体"/>
          <w:color w:val="auto"/>
          <w:sz w:val="24"/>
          <w:highlight w:val="none"/>
        </w:rPr>
      </w:pPr>
      <w:r>
        <w:rPr>
          <w:rFonts w:hint="eastAsia" w:ascii="宋体" w:hAnsi="宋体"/>
          <w:color w:val="auto"/>
          <w:sz w:val="24"/>
          <w:highlight w:val="none"/>
        </w:rPr>
        <w:t>供应商名称（单位公章）：</w:t>
      </w:r>
    </w:p>
    <w:p w14:paraId="37336764">
      <w:pPr>
        <w:spacing w:line="360" w:lineRule="auto"/>
        <w:ind w:firstLine="420"/>
        <w:rPr>
          <w:rFonts w:ascii="宋体" w:hAnsi="宋体"/>
          <w:color w:val="auto"/>
          <w:sz w:val="24"/>
          <w:highlight w:val="none"/>
        </w:rPr>
      </w:pPr>
      <w:r>
        <w:rPr>
          <w:rFonts w:hint="eastAsia" w:ascii="宋体" w:hAnsi="宋体" w:cs="宋体"/>
          <w:color w:val="auto"/>
          <w:sz w:val="24"/>
          <w:highlight w:val="none"/>
          <w:lang w:bidi="ar"/>
        </w:rPr>
        <w:t>法定代表人（负责人）或代理人（签字或盖章）：</w:t>
      </w:r>
      <w:r>
        <w:rPr>
          <w:rFonts w:hint="eastAsia" w:ascii="宋体" w:hAnsi="宋体"/>
          <w:color w:val="auto"/>
          <w:sz w:val="24"/>
          <w:highlight w:val="none"/>
        </w:rPr>
        <w:t xml:space="preserve">   </w:t>
      </w:r>
    </w:p>
    <w:p w14:paraId="1F359CDF">
      <w:pPr>
        <w:ind w:firstLine="480" w:firstLineChars="200"/>
        <w:rPr>
          <w:rFonts w:ascii="宋体" w:hAnsi="宋体"/>
          <w:color w:val="auto"/>
          <w:sz w:val="24"/>
          <w:highlight w:val="none"/>
        </w:rPr>
      </w:pPr>
      <w:r>
        <w:rPr>
          <w:rFonts w:hint="eastAsia" w:ascii="宋体" w:hAnsi="宋体"/>
          <w:color w:val="auto"/>
          <w:sz w:val="24"/>
          <w:highlight w:val="none"/>
        </w:rPr>
        <w:t>日期：  年   月   日</w:t>
      </w:r>
      <w:r>
        <w:rPr>
          <w:rFonts w:ascii="宋体" w:hAnsi="宋体"/>
          <w:color w:val="auto"/>
          <w:sz w:val="24"/>
          <w:highlight w:val="none"/>
        </w:rPr>
        <w:t xml:space="preserve">  </w:t>
      </w:r>
    </w:p>
    <w:p w14:paraId="583BED36">
      <w:pPr>
        <w:ind w:firstLine="480" w:firstLineChars="200"/>
        <w:rPr>
          <w:rFonts w:ascii="宋体" w:hAnsi="宋体"/>
          <w:color w:val="auto"/>
          <w:sz w:val="24"/>
          <w:highlight w:val="none"/>
        </w:rPr>
      </w:pPr>
    </w:p>
    <w:p w14:paraId="18F9C021">
      <w:pPr>
        <w:ind w:firstLine="480" w:firstLineChars="200"/>
        <w:rPr>
          <w:rFonts w:ascii="宋体" w:hAnsi="宋体"/>
          <w:color w:val="auto"/>
          <w:sz w:val="24"/>
          <w:highlight w:val="none"/>
        </w:rPr>
      </w:pPr>
    </w:p>
    <w:p w14:paraId="66B9AA9E">
      <w:pPr>
        <w:ind w:firstLine="480" w:firstLineChars="200"/>
        <w:rPr>
          <w:rFonts w:ascii="宋体" w:hAnsi="宋体"/>
          <w:color w:val="auto"/>
          <w:sz w:val="24"/>
          <w:highlight w:val="none"/>
        </w:rPr>
      </w:pPr>
    </w:p>
    <w:p w14:paraId="50A829DE">
      <w:pPr>
        <w:ind w:firstLine="480" w:firstLineChars="200"/>
        <w:rPr>
          <w:rFonts w:ascii="宋体" w:hAnsi="宋体"/>
          <w:color w:val="auto"/>
          <w:sz w:val="24"/>
          <w:highlight w:val="none"/>
        </w:rPr>
      </w:pPr>
    </w:p>
    <w:p w14:paraId="73675803">
      <w:pPr>
        <w:ind w:firstLine="480" w:firstLineChars="200"/>
        <w:rPr>
          <w:rFonts w:ascii="宋体" w:hAnsi="宋体"/>
          <w:color w:val="auto"/>
          <w:sz w:val="24"/>
          <w:highlight w:val="none"/>
        </w:rPr>
      </w:pPr>
    </w:p>
    <w:p w14:paraId="69DBC565">
      <w:pPr>
        <w:pStyle w:val="21"/>
        <w:ind w:firstLine="480"/>
        <w:rPr>
          <w:rFonts w:hAnsi="宋体"/>
          <w:color w:val="auto"/>
          <w:sz w:val="24"/>
          <w:highlight w:val="none"/>
        </w:rPr>
      </w:pPr>
    </w:p>
    <w:p w14:paraId="66ADA3C4">
      <w:pPr>
        <w:rPr>
          <w:rFonts w:ascii="宋体" w:hAnsi="宋体"/>
          <w:color w:val="auto"/>
          <w:sz w:val="24"/>
          <w:highlight w:val="none"/>
        </w:rPr>
      </w:pPr>
    </w:p>
    <w:p w14:paraId="04E6652F">
      <w:pPr>
        <w:pStyle w:val="21"/>
        <w:ind w:firstLine="480"/>
        <w:rPr>
          <w:rFonts w:hAnsi="宋体"/>
          <w:color w:val="auto"/>
          <w:sz w:val="24"/>
          <w:highlight w:val="none"/>
        </w:rPr>
      </w:pPr>
    </w:p>
    <w:p w14:paraId="524E8BD4">
      <w:pPr>
        <w:rPr>
          <w:rFonts w:ascii="宋体" w:hAnsi="宋体"/>
          <w:color w:val="auto"/>
          <w:sz w:val="24"/>
          <w:highlight w:val="none"/>
        </w:rPr>
      </w:pPr>
    </w:p>
    <w:p w14:paraId="4FB6DC08">
      <w:pPr>
        <w:pStyle w:val="3"/>
        <w:overflowPunct w:val="0"/>
        <w:spacing w:line="400" w:lineRule="exact"/>
        <w:ind w:firstLine="0"/>
        <w:rPr>
          <w:rFonts w:hint="eastAsia" w:ascii="宋体" w:hAnsi="宋体"/>
          <w:b/>
          <w:color w:val="auto"/>
          <w:sz w:val="32"/>
          <w:szCs w:val="32"/>
          <w:highlight w:val="none"/>
          <w:lang w:val="en-US" w:eastAsia="zh-CN"/>
        </w:rPr>
      </w:pPr>
    </w:p>
    <w:p w14:paraId="4FAB96B8">
      <w:pPr>
        <w:pStyle w:val="3"/>
        <w:overflowPunct w:val="0"/>
        <w:spacing w:line="400" w:lineRule="exact"/>
        <w:ind w:firstLine="0"/>
        <w:rPr>
          <w:rFonts w:hint="eastAsia" w:ascii="宋体" w:hAnsi="宋体"/>
          <w:b/>
          <w:color w:val="auto"/>
          <w:sz w:val="32"/>
          <w:szCs w:val="32"/>
          <w:highlight w:val="none"/>
          <w:lang w:val="en-US" w:eastAsia="zh-CN"/>
        </w:rPr>
      </w:pPr>
    </w:p>
    <w:p w14:paraId="57EB3553">
      <w:pPr>
        <w:pStyle w:val="3"/>
        <w:overflowPunct w:val="0"/>
        <w:spacing w:line="400" w:lineRule="exact"/>
        <w:ind w:firstLine="0"/>
        <w:rPr>
          <w:rFonts w:hint="eastAsia" w:ascii="宋体" w:hAnsi="宋体"/>
          <w:b/>
          <w:color w:val="auto"/>
          <w:sz w:val="32"/>
          <w:szCs w:val="32"/>
          <w:highlight w:val="none"/>
          <w:lang w:val="en-US" w:eastAsia="zh-CN"/>
        </w:rPr>
      </w:pPr>
    </w:p>
    <w:p w14:paraId="15E2D6C1">
      <w:pPr>
        <w:pStyle w:val="3"/>
        <w:overflowPunct w:val="0"/>
        <w:spacing w:line="400" w:lineRule="exact"/>
        <w:ind w:firstLine="0"/>
        <w:rPr>
          <w:rFonts w:hint="eastAsia" w:ascii="宋体" w:hAnsi="宋体"/>
          <w:b/>
          <w:color w:val="auto"/>
          <w:sz w:val="32"/>
          <w:szCs w:val="32"/>
          <w:highlight w:val="none"/>
          <w:lang w:val="en-US" w:eastAsia="zh-CN"/>
        </w:rPr>
      </w:pPr>
    </w:p>
    <w:p w14:paraId="2EEA5FE8">
      <w:pPr>
        <w:pStyle w:val="3"/>
        <w:overflowPunct w:val="0"/>
        <w:spacing w:line="400" w:lineRule="exact"/>
        <w:ind w:firstLine="0"/>
        <w:rPr>
          <w:rFonts w:hint="eastAsia" w:ascii="宋体" w:hAnsi="宋体"/>
          <w:b/>
          <w:color w:val="auto"/>
          <w:sz w:val="32"/>
          <w:szCs w:val="32"/>
          <w:highlight w:val="none"/>
          <w:lang w:val="en-US" w:eastAsia="zh-CN"/>
        </w:rPr>
      </w:pPr>
    </w:p>
    <w:p w14:paraId="557D80AC">
      <w:pPr>
        <w:pStyle w:val="3"/>
        <w:overflowPunct w:val="0"/>
        <w:spacing w:line="400" w:lineRule="exact"/>
        <w:ind w:firstLine="0"/>
        <w:rPr>
          <w:rFonts w:hint="eastAsia" w:ascii="宋体" w:hAnsi="宋体"/>
          <w:b/>
          <w:color w:val="auto"/>
          <w:sz w:val="32"/>
          <w:szCs w:val="32"/>
          <w:highlight w:val="none"/>
          <w:lang w:val="en-US" w:eastAsia="zh-CN"/>
        </w:rPr>
      </w:pPr>
    </w:p>
    <w:p w14:paraId="0A253B8C">
      <w:pPr>
        <w:pStyle w:val="3"/>
        <w:overflowPunct w:val="0"/>
        <w:spacing w:line="400" w:lineRule="exact"/>
        <w:ind w:firstLine="0"/>
        <w:rPr>
          <w:rFonts w:hint="eastAsia" w:ascii="宋体" w:hAnsi="宋体"/>
          <w:b/>
          <w:color w:val="auto"/>
          <w:sz w:val="32"/>
          <w:szCs w:val="32"/>
          <w:highlight w:val="none"/>
          <w:lang w:val="en-US" w:eastAsia="zh-CN"/>
        </w:rPr>
      </w:pPr>
    </w:p>
    <w:p w14:paraId="668FFEF3">
      <w:pPr>
        <w:pStyle w:val="3"/>
        <w:overflowPunct w:val="0"/>
        <w:spacing w:line="400" w:lineRule="exact"/>
        <w:ind w:firstLine="0"/>
        <w:rPr>
          <w:rFonts w:hint="eastAsia" w:ascii="宋体" w:hAnsi="宋体"/>
          <w:b/>
          <w:color w:val="auto"/>
          <w:sz w:val="32"/>
          <w:szCs w:val="32"/>
          <w:highlight w:val="none"/>
          <w:lang w:val="en-US" w:eastAsia="zh-CN"/>
        </w:rPr>
      </w:pPr>
    </w:p>
    <w:p w14:paraId="30CAB05C">
      <w:pPr>
        <w:pStyle w:val="3"/>
        <w:overflowPunct w:val="0"/>
        <w:spacing w:line="400" w:lineRule="exact"/>
        <w:ind w:firstLine="0"/>
        <w:rPr>
          <w:rFonts w:hint="eastAsia" w:ascii="宋体" w:hAnsi="宋体"/>
          <w:b/>
          <w:color w:val="auto"/>
          <w:sz w:val="32"/>
          <w:szCs w:val="32"/>
          <w:highlight w:val="none"/>
          <w:lang w:val="en-US" w:eastAsia="zh-CN"/>
        </w:rPr>
      </w:pPr>
    </w:p>
    <w:p w14:paraId="63C60FBB">
      <w:pPr>
        <w:pStyle w:val="3"/>
        <w:overflowPunct w:val="0"/>
        <w:spacing w:line="400" w:lineRule="exact"/>
        <w:ind w:firstLine="0"/>
        <w:rPr>
          <w:rFonts w:hint="eastAsia" w:ascii="宋体" w:hAnsi="宋体"/>
          <w:b/>
          <w:color w:val="auto"/>
          <w:sz w:val="32"/>
          <w:szCs w:val="32"/>
          <w:highlight w:val="none"/>
          <w:lang w:val="en-US" w:eastAsia="zh-CN"/>
        </w:rPr>
      </w:pPr>
    </w:p>
    <w:p w14:paraId="4DD4F61E">
      <w:pPr>
        <w:pStyle w:val="3"/>
        <w:overflowPunct w:val="0"/>
        <w:spacing w:line="400" w:lineRule="exact"/>
        <w:ind w:firstLine="0"/>
        <w:rPr>
          <w:rFonts w:hint="eastAsia" w:ascii="宋体" w:hAnsi="宋体"/>
          <w:b/>
          <w:color w:val="auto"/>
          <w:sz w:val="32"/>
          <w:szCs w:val="32"/>
          <w:highlight w:val="none"/>
          <w:lang w:val="en-US" w:eastAsia="zh-CN"/>
        </w:rPr>
      </w:pPr>
    </w:p>
    <w:p w14:paraId="494E9138">
      <w:pPr>
        <w:pStyle w:val="3"/>
        <w:overflowPunct w:val="0"/>
        <w:spacing w:line="400" w:lineRule="exact"/>
        <w:ind w:firstLine="0"/>
        <w:rPr>
          <w:rFonts w:hint="eastAsia" w:ascii="宋体" w:hAnsi="宋体"/>
          <w:b/>
          <w:color w:val="auto"/>
          <w:sz w:val="32"/>
          <w:szCs w:val="32"/>
          <w:highlight w:val="none"/>
          <w:lang w:val="en-US" w:eastAsia="zh-CN"/>
        </w:rPr>
      </w:pPr>
    </w:p>
    <w:p w14:paraId="370BD943">
      <w:pPr>
        <w:pStyle w:val="3"/>
        <w:overflowPunct w:val="0"/>
        <w:spacing w:line="400" w:lineRule="exact"/>
        <w:ind w:firstLine="0"/>
        <w:rPr>
          <w:rFonts w:ascii="宋体" w:hAnsi="宋体"/>
          <w:color w:val="auto"/>
          <w:sz w:val="32"/>
          <w:szCs w:val="32"/>
          <w:highlight w:val="none"/>
        </w:rPr>
      </w:pPr>
      <w:r>
        <w:rPr>
          <w:rFonts w:hint="eastAsia" w:ascii="宋体" w:hAnsi="宋体"/>
          <w:b/>
          <w:color w:val="auto"/>
          <w:sz w:val="32"/>
          <w:szCs w:val="32"/>
          <w:highlight w:val="none"/>
          <w:lang w:val="en-US" w:eastAsia="zh-CN"/>
        </w:rPr>
        <w:t>6</w:t>
      </w:r>
      <w:r>
        <w:rPr>
          <w:rFonts w:hint="eastAsia" w:ascii="宋体" w:hAnsi="宋体"/>
          <w:b/>
          <w:color w:val="auto"/>
          <w:sz w:val="32"/>
          <w:szCs w:val="32"/>
          <w:highlight w:val="none"/>
        </w:rPr>
        <w:t>、</w:t>
      </w:r>
      <w:r>
        <w:rPr>
          <w:rFonts w:hint="eastAsia" w:ascii="宋体" w:hAnsi="宋体"/>
          <w:b/>
          <w:color w:val="auto"/>
          <w:sz w:val="32"/>
          <w:szCs w:val="32"/>
          <w:highlight w:val="none"/>
          <w:lang w:eastAsia="zh-CN"/>
        </w:rPr>
        <w:t>供应商</w:t>
      </w:r>
      <w:r>
        <w:rPr>
          <w:rFonts w:hint="eastAsia" w:ascii="宋体" w:hAnsi="宋体"/>
          <w:b/>
          <w:color w:val="auto"/>
          <w:sz w:val="32"/>
          <w:szCs w:val="32"/>
          <w:highlight w:val="none"/>
        </w:rPr>
        <w:t>情况表</w:t>
      </w:r>
    </w:p>
    <w:p w14:paraId="3D316251">
      <w:pPr>
        <w:pStyle w:val="3"/>
        <w:overflowPunct w:val="0"/>
        <w:ind w:left="1260" w:leftChars="600" w:firstLine="2175" w:firstLineChars="725"/>
        <w:rPr>
          <w:rFonts w:ascii="宋体" w:hAnsi="宋体"/>
          <w:color w:val="auto"/>
          <w:sz w:val="30"/>
          <w:szCs w:val="30"/>
          <w:highlight w:val="none"/>
        </w:rPr>
      </w:pPr>
      <w:r>
        <w:rPr>
          <w:rFonts w:hint="eastAsia" w:ascii="宋体" w:hAnsi="宋体"/>
          <w:color w:val="auto"/>
          <w:sz w:val="30"/>
          <w:szCs w:val="30"/>
          <w:highlight w:val="none"/>
          <w:lang w:eastAsia="zh-CN"/>
        </w:rPr>
        <w:t>供应商</w:t>
      </w:r>
      <w:r>
        <w:rPr>
          <w:rFonts w:hint="eastAsia" w:ascii="宋体" w:hAnsi="宋体"/>
          <w:color w:val="auto"/>
          <w:sz w:val="30"/>
          <w:szCs w:val="30"/>
          <w:highlight w:val="none"/>
        </w:rPr>
        <w:t>情况表</w:t>
      </w:r>
    </w:p>
    <w:p w14:paraId="0F867326">
      <w:pPr>
        <w:pStyle w:val="3"/>
        <w:overflowPunct w:val="0"/>
        <w:ind w:firstLine="480" w:firstLineChars="200"/>
        <w:rPr>
          <w:rFonts w:ascii="宋体" w:hAnsi="宋体"/>
          <w:color w:val="auto"/>
          <w:sz w:val="24"/>
          <w:szCs w:val="24"/>
          <w:highlight w:val="none"/>
        </w:rPr>
      </w:pPr>
      <w:r>
        <w:rPr>
          <w:rFonts w:hint="eastAsia" w:ascii="宋体" w:hAnsi="宋体"/>
          <w:color w:val="auto"/>
          <w:sz w:val="24"/>
          <w:szCs w:val="24"/>
          <w:highlight w:val="none"/>
        </w:rPr>
        <w:t>单位名称（盖章）：</w:t>
      </w:r>
    </w:p>
    <w:tbl>
      <w:tblPr>
        <w:tblStyle w:val="15"/>
        <w:tblW w:w="0" w:type="auto"/>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09"/>
        <w:gridCol w:w="1845"/>
        <w:gridCol w:w="1344"/>
        <w:gridCol w:w="1892"/>
        <w:gridCol w:w="1138"/>
      </w:tblGrid>
      <w:tr w14:paraId="56B16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2309" w:type="dxa"/>
          </w:tcPr>
          <w:p w14:paraId="31D09D6E">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法定代表人</w:t>
            </w:r>
          </w:p>
        </w:tc>
        <w:tc>
          <w:tcPr>
            <w:tcW w:w="1845" w:type="dxa"/>
          </w:tcPr>
          <w:p w14:paraId="40E2BD4E">
            <w:pPr>
              <w:pStyle w:val="3"/>
              <w:overflowPunct w:val="0"/>
              <w:ind w:left="1260" w:firstLine="0"/>
              <w:rPr>
                <w:rFonts w:ascii="宋体" w:hAnsi="宋体"/>
                <w:color w:val="auto"/>
                <w:sz w:val="24"/>
                <w:szCs w:val="24"/>
                <w:highlight w:val="none"/>
              </w:rPr>
            </w:pPr>
          </w:p>
        </w:tc>
        <w:tc>
          <w:tcPr>
            <w:tcW w:w="1344" w:type="dxa"/>
          </w:tcPr>
          <w:p w14:paraId="1B1E9B4A">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成立日期</w:t>
            </w:r>
          </w:p>
        </w:tc>
        <w:tc>
          <w:tcPr>
            <w:tcW w:w="3030" w:type="dxa"/>
            <w:gridSpan w:val="2"/>
          </w:tcPr>
          <w:p w14:paraId="1B1E2CB4">
            <w:pPr>
              <w:pStyle w:val="3"/>
              <w:overflowPunct w:val="0"/>
              <w:ind w:left="1260" w:firstLine="0"/>
              <w:rPr>
                <w:rFonts w:ascii="宋体" w:hAnsi="宋体"/>
                <w:color w:val="auto"/>
                <w:sz w:val="24"/>
                <w:szCs w:val="24"/>
                <w:highlight w:val="none"/>
              </w:rPr>
            </w:pPr>
          </w:p>
        </w:tc>
      </w:tr>
      <w:tr w14:paraId="48F39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2B2931EF">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企业地址</w:t>
            </w:r>
          </w:p>
        </w:tc>
        <w:tc>
          <w:tcPr>
            <w:tcW w:w="1845" w:type="dxa"/>
          </w:tcPr>
          <w:p w14:paraId="0000841E">
            <w:pPr>
              <w:pStyle w:val="3"/>
              <w:overflowPunct w:val="0"/>
              <w:ind w:left="1260" w:firstLine="0"/>
              <w:rPr>
                <w:rFonts w:ascii="宋体" w:hAnsi="宋体"/>
                <w:color w:val="auto"/>
                <w:sz w:val="24"/>
                <w:szCs w:val="24"/>
                <w:highlight w:val="none"/>
              </w:rPr>
            </w:pPr>
          </w:p>
        </w:tc>
        <w:tc>
          <w:tcPr>
            <w:tcW w:w="1344" w:type="dxa"/>
          </w:tcPr>
          <w:p w14:paraId="7FB7060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注册资本</w:t>
            </w:r>
          </w:p>
        </w:tc>
        <w:tc>
          <w:tcPr>
            <w:tcW w:w="3030" w:type="dxa"/>
            <w:gridSpan w:val="2"/>
          </w:tcPr>
          <w:p w14:paraId="24834B58">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 xml:space="preserve">                  万元</w:t>
            </w:r>
          </w:p>
        </w:tc>
      </w:tr>
      <w:tr w14:paraId="385A5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2855E050">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经营范围</w:t>
            </w:r>
          </w:p>
        </w:tc>
        <w:tc>
          <w:tcPr>
            <w:tcW w:w="6219" w:type="dxa"/>
            <w:gridSpan w:val="4"/>
          </w:tcPr>
          <w:p w14:paraId="3091D484">
            <w:pPr>
              <w:pStyle w:val="3"/>
              <w:overflowPunct w:val="0"/>
              <w:ind w:left="1260" w:firstLine="0"/>
              <w:rPr>
                <w:rFonts w:ascii="宋体" w:hAnsi="宋体"/>
                <w:color w:val="auto"/>
                <w:sz w:val="24"/>
                <w:szCs w:val="24"/>
                <w:highlight w:val="none"/>
              </w:rPr>
            </w:pPr>
          </w:p>
        </w:tc>
      </w:tr>
      <w:tr w14:paraId="05CAE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6153120C">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职工人数</w:t>
            </w:r>
          </w:p>
        </w:tc>
        <w:tc>
          <w:tcPr>
            <w:tcW w:w="1845" w:type="dxa"/>
          </w:tcPr>
          <w:p w14:paraId="0279E0FB">
            <w:pPr>
              <w:pStyle w:val="3"/>
              <w:overflowPunct w:val="0"/>
              <w:ind w:firstLine="0"/>
              <w:rPr>
                <w:rFonts w:ascii="宋体" w:hAnsi="宋体"/>
                <w:color w:val="auto"/>
                <w:sz w:val="24"/>
                <w:szCs w:val="24"/>
                <w:highlight w:val="none"/>
              </w:rPr>
            </w:pPr>
          </w:p>
        </w:tc>
        <w:tc>
          <w:tcPr>
            <w:tcW w:w="3236" w:type="dxa"/>
            <w:gridSpan w:val="2"/>
          </w:tcPr>
          <w:p w14:paraId="37BAFC15">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其中：有中高级以上职称的人数</w:t>
            </w:r>
          </w:p>
        </w:tc>
        <w:tc>
          <w:tcPr>
            <w:tcW w:w="1138" w:type="dxa"/>
          </w:tcPr>
          <w:p w14:paraId="52DB0ADD">
            <w:pPr>
              <w:pStyle w:val="3"/>
              <w:overflowPunct w:val="0"/>
              <w:ind w:left="1260" w:firstLine="0"/>
              <w:rPr>
                <w:rFonts w:ascii="宋体" w:hAnsi="宋体"/>
                <w:color w:val="auto"/>
                <w:sz w:val="24"/>
                <w:szCs w:val="24"/>
                <w:highlight w:val="none"/>
              </w:rPr>
            </w:pPr>
          </w:p>
        </w:tc>
      </w:tr>
      <w:tr w14:paraId="36CE9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14:paraId="607301B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资产总计</w:t>
            </w:r>
          </w:p>
        </w:tc>
        <w:tc>
          <w:tcPr>
            <w:tcW w:w="1845" w:type="dxa"/>
            <w:vAlign w:val="center"/>
          </w:tcPr>
          <w:p w14:paraId="0F23BCD8">
            <w:pPr>
              <w:pStyle w:val="3"/>
              <w:overflowPunct w:val="0"/>
              <w:ind w:firstLine="120" w:firstLineChars="50"/>
              <w:rPr>
                <w:rFonts w:ascii="宋体" w:hAnsi="宋体"/>
                <w:color w:val="auto"/>
                <w:sz w:val="24"/>
                <w:szCs w:val="24"/>
                <w:highlight w:val="none"/>
              </w:rPr>
            </w:pPr>
            <w:r>
              <w:rPr>
                <w:rFonts w:hint="eastAsia" w:ascii="宋体" w:hAnsi="宋体"/>
                <w:color w:val="auto"/>
                <w:sz w:val="24"/>
                <w:szCs w:val="24"/>
                <w:highlight w:val="none"/>
              </w:rPr>
              <w:t xml:space="preserve">       万元</w:t>
            </w:r>
          </w:p>
        </w:tc>
        <w:tc>
          <w:tcPr>
            <w:tcW w:w="1344" w:type="dxa"/>
            <w:vAlign w:val="center"/>
          </w:tcPr>
          <w:p w14:paraId="23759232">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净资产</w:t>
            </w:r>
          </w:p>
        </w:tc>
        <w:tc>
          <w:tcPr>
            <w:tcW w:w="3030" w:type="dxa"/>
            <w:gridSpan w:val="2"/>
            <w:vAlign w:val="center"/>
          </w:tcPr>
          <w:p w14:paraId="7A75C7EB">
            <w:pPr>
              <w:pStyle w:val="3"/>
              <w:overflowPunct w:val="0"/>
              <w:ind w:left="1260" w:firstLine="0"/>
              <w:jc w:val="center"/>
              <w:rPr>
                <w:rFonts w:ascii="宋体" w:hAnsi="宋体"/>
                <w:color w:val="auto"/>
                <w:sz w:val="24"/>
                <w:szCs w:val="24"/>
                <w:highlight w:val="none"/>
              </w:rPr>
            </w:pPr>
            <w:r>
              <w:rPr>
                <w:rFonts w:hint="eastAsia" w:ascii="宋体" w:hAnsi="宋体"/>
                <w:color w:val="auto"/>
                <w:sz w:val="24"/>
                <w:szCs w:val="24"/>
                <w:highlight w:val="none"/>
              </w:rPr>
              <w:t xml:space="preserve">     万元</w:t>
            </w:r>
          </w:p>
        </w:tc>
      </w:tr>
      <w:tr w14:paraId="2EA0C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14:paraId="19CB977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股东权益</w:t>
            </w:r>
          </w:p>
        </w:tc>
        <w:tc>
          <w:tcPr>
            <w:tcW w:w="1845" w:type="dxa"/>
            <w:vAlign w:val="center"/>
          </w:tcPr>
          <w:p w14:paraId="078B6F50">
            <w:pPr>
              <w:pStyle w:val="3"/>
              <w:overflowPunct w:val="0"/>
              <w:ind w:firstLine="960" w:firstLineChars="400"/>
              <w:rPr>
                <w:rFonts w:ascii="宋体" w:hAnsi="宋体"/>
                <w:color w:val="auto"/>
                <w:sz w:val="24"/>
                <w:szCs w:val="24"/>
                <w:highlight w:val="none"/>
              </w:rPr>
            </w:pPr>
            <w:r>
              <w:rPr>
                <w:rFonts w:hint="eastAsia" w:ascii="宋体" w:hAnsi="宋体"/>
                <w:color w:val="auto"/>
                <w:sz w:val="24"/>
                <w:szCs w:val="24"/>
                <w:highlight w:val="none"/>
              </w:rPr>
              <w:t>万元</w:t>
            </w:r>
          </w:p>
        </w:tc>
        <w:tc>
          <w:tcPr>
            <w:tcW w:w="1344" w:type="dxa"/>
            <w:vAlign w:val="center"/>
          </w:tcPr>
          <w:p w14:paraId="43164268">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销售收入</w:t>
            </w:r>
          </w:p>
        </w:tc>
        <w:tc>
          <w:tcPr>
            <w:tcW w:w="3030" w:type="dxa"/>
            <w:gridSpan w:val="2"/>
            <w:vAlign w:val="center"/>
          </w:tcPr>
          <w:p w14:paraId="414D92EE">
            <w:pPr>
              <w:pStyle w:val="3"/>
              <w:overflowPunct w:val="0"/>
              <w:ind w:firstLine="0"/>
              <w:rPr>
                <w:rFonts w:ascii="宋体" w:hAnsi="宋体"/>
                <w:b/>
                <w:color w:val="auto"/>
                <w:sz w:val="24"/>
                <w:szCs w:val="24"/>
                <w:highlight w:val="none"/>
              </w:rPr>
            </w:pPr>
            <w:r>
              <w:rPr>
                <w:rFonts w:hint="eastAsia" w:ascii="宋体" w:hAnsi="宋体" w:cs="宋体"/>
                <w:b/>
                <w:color w:val="auto"/>
                <w:szCs w:val="21"/>
                <w:highlight w:val="none"/>
              </w:rPr>
              <w:t>202</w:t>
            </w:r>
            <w:r>
              <w:rPr>
                <w:rFonts w:hint="eastAsia" w:ascii="宋体" w:hAnsi="宋体" w:cs="宋体"/>
                <w:b/>
                <w:color w:val="auto"/>
                <w:szCs w:val="21"/>
                <w:highlight w:val="none"/>
                <w:lang w:val="en-US" w:eastAsia="zh-CN"/>
              </w:rPr>
              <w:t>5</w:t>
            </w:r>
            <w:r>
              <w:rPr>
                <w:rFonts w:hint="eastAsia" w:ascii="宋体" w:hAnsi="宋体" w:cs="宋体"/>
                <w:b/>
                <w:color w:val="auto"/>
                <w:szCs w:val="21"/>
                <w:highlight w:val="none"/>
              </w:rPr>
              <w:t>年（或最新一年度）           万元</w:t>
            </w:r>
          </w:p>
        </w:tc>
      </w:tr>
      <w:tr w14:paraId="1DBF9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2FB88B2B">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实现利润</w:t>
            </w:r>
          </w:p>
        </w:tc>
        <w:tc>
          <w:tcPr>
            <w:tcW w:w="1845" w:type="dxa"/>
          </w:tcPr>
          <w:p w14:paraId="1619FB62">
            <w:pPr>
              <w:pStyle w:val="3"/>
              <w:overflowPunct w:val="0"/>
              <w:ind w:firstLine="0"/>
              <w:rPr>
                <w:rFonts w:ascii="宋体" w:hAnsi="宋体"/>
                <w:b/>
                <w:color w:val="auto"/>
                <w:sz w:val="24"/>
                <w:szCs w:val="24"/>
                <w:highlight w:val="none"/>
              </w:rPr>
            </w:pPr>
            <w:r>
              <w:rPr>
                <w:rFonts w:hint="eastAsia" w:ascii="宋体" w:hAnsi="宋体" w:cs="宋体"/>
                <w:b/>
                <w:color w:val="auto"/>
                <w:szCs w:val="21"/>
                <w:highlight w:val="none"/>
              </w:rPr>
              <w:t>202</w:t>
            </w:r>
            <w:r>
              <w:rPr>
                <w:rFonts w:hint="eastAsia" w:ascii="宋体" w:hAnsi="宋体" w:cs="宋体"/>
                <w:b/>
                <w:color w:val="auto"/>
                <w:szCs w:val="21"/>
                <w:highlight w:val="none"/>
                <w:lang w:val="en-US" w:eastAsia="zh-CN"/>
              </w:rPr>
              <w:t>5</w:t>
            </w:r>
            <w:r>
              <w:rPr>
                <w:rFonts w:hint="eastAsia" w:ascii="宋体" w:hAnsi="宋体" w:cs="宋体"/>
                <w:b/>
                <w:color w:val="auto"/>
                <w:szCs w:val="21"/>
                <w:highlight w:val="none"/>
              </w:rPr>
              <w:t>年（或最新一年度）           万元</w:t>
            </w:r>
          </w:p>
        </w:tc>
        <w:tc>
          <w:tcPr>
            <w:tcW w:w="1344" w:type="dxa"/>
          </w:tcPr>
          <w:p w14:paraId="48254B59">
            <w:pPr>
              <w:pStyle w:val="3"/>
              <w:overflowPunct w:val="0"/>
              <w:ind w:left="1260" w:firstLine="0"/>
              <w:rPr>
                <w:rFonts w:ascii="宋体" w:hAnsi="宋体"/>
                <w:color w:val="auto"/>
                <w:sz w:val="24"/>
                <w:szCs w:val="24"/>
                <w:highlight w:val="none"/>
              </w:rPr>
            </w:pPr>
          </w:p>
        </w:tc>
        <w:tc>
          <w:tcPr>
            <w:tcW w:w="3030" w:type="dxa"/>
            <w:gridSpan w:val="2"/>
          </w:tcPr>
          <w:p w14:paraId="5A20871B">
            <w:pPr>
              <w:pStyle w:val="3"/>
              <w:overflowPunct w:val="0"/>
              <w:ind w:left="1260" w:firstLine="0"/>
              <w:rPr>
                <w:rFonts w:ascii="宋体" w:hAnsi="宋体"/>
                <w:color w:val="auto"/>
                <w:sz w:val="24"/>
                <w:szCs w:val="24"/>
                <w:highlight w:val="none"/>
              </w:rPr>
            </w:pPr>
          </w:p>
        </w:tc>
      </w:tr>
      <w:tr w14:paraId="4CCAC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17889537">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营业面积（含厂房面积）</w:t>
            </w:r>
          </w:p>
        </w:tc>
        <w:tc>
          <w:tcPr>
            <w:tcW w:w="1845" w:type="dxa"/>
            <w:vAlign w:val="center"/>
          </w:tcPr>
          <w:p w14:paraId="18D0A465">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 xml:space="preserve">       平方米</w:t>
            </w:r>
          </w:p>
        </w:tc>
        <w:tc>
          <w:tcPr>
            <w:tcW w:w="1344" w:type="dxa"/>
          </w:tcPr>
          <w:p w14:paraId="20ECE707">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其中</w:t>
            </w:r>
          </w:p>
        </w:tc>
        <w:tc>
          <w:tcPr>
            <w:tcW w:w="3030" w:type="dxa"/>
            <w:gridSpan w:val="2"/>
          </w:tcPr>
          <w:p w14:paraId="03972DEA">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自有面积</w:t>
            </w:r>
            <w:r>
              <w:rPr>
                <w:rFonts w:ascii="宋体" w:hAnsi="宋体"/>
                <w:color w:val="auto"/>
                <w:sz w:val="24"/>
                <w:szCs w:val="24"/>
                <w:highlight w:val="none"/>
              </w:rPr>
              <w:t xml:space="preserve">         </w:t>
            </w:r>
            <w:r>
              <w:rPr>
                <w:rFonts w:hint="eastAsia" w:ascii="宋体" w:hAnsi="宋体"/>
                <w:color w:val="auto"/>
                <w:sz w:val="24"/>
                <w:szCs w:val="24"/>
                <w:highlight w:val="none"/>
              </w:rPr>
              <w:t>平方米</w:t>
            </w:r>
          </w:p>
          <w:p w14:paraId="58ABB0BE">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承租面积</w:t>
            </w:r>
            <w:r>
              <w:rPr>
                <w:rFonts w:ascii="宋体" w:hAnsi="宋体"/>
                <w:color w:val="auto"/>
                <w:sz w:val="24"/>
                <w:szCs w:val="24"/>
                <w:highlight w:val="none"/>
              </w:rPr>
              <w:t xml:space="preserve">         </w:t>
            </w:r>
            <w:r>
              <w:rPr>
                <w:rFonts w:hint="eastAsia" w:ascii="宋体" w:hAnsi="宋体"/>
                <w:color w:val="auto"/>
                <w:sz w:val="24"/>
                <w:szCs w:val="24"/>
                <w:highlight w:val="none"/>
              </w:rPr>
              <w:t>平方米</w:t>
            </w:r>
          </w:p>
        </w:tc>
      </w:tr>
      <w:tr w14:paraId="3AED5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26" w:hRule="atLeast"/>
        </w:trPr>
        <w:tc>
          <w:tcPr>
            <w:tcW w:w="2309" w:type="dxa"/>
            <w:vAlign w:val="center"/>
          </w:tcPr>
          <w:p w14:paraId="1BF5912D">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单位简历及内设机构情况</w:t>
            </w:r>
          </w:p>
        </w:tc>
        <w:tc>
          <w:tcPr>
            <w:tcW w:w="6219" w:type="dxa"/>
            <w:gridSpan w:val="4"/>
          </w:tcPr>
          <w:p w14:paraId="70CAE045">
            <w:pPr>
              <w:pStyle w:val="3"/>
              <w:overflowPunct w:val="0"/>
              <w:ind w:firstLine="0"/>
              <w:rPr>
                <w:rFonts w:ascii="宋体" w:hAnsi="宋体"/>
                <w:color w:val="auto"/>
                <w:sz w:val="24"/>
                <w:szCs w:val="24"/>
                <w:highlight w:val="none"/>
              </w:rPr>
            </w:pPr>
          </w:p>
        </w:tc>
      </w:tr>
      <w:tr w14:paraId="40326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43" w:hRule="atLeast"/>
        </w:trPr>
        <w:tc>
          <w:tcPr>
            <w:tcW w:w="2309" w:type="dxa"/>
            <w:vAlign w:val="center"/>
          </w:tcPr>
          <w:p w14:paraId="5E912C5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单位优势及特长</w:t>
            </w:r>
          </w:p>
        </w:tc>
        <w:tc>
          <w:tcPr>
            <w:tcW w:w="6219" w:type="dxa"/>
            <w:gridSpan w:val="4"/>
          </w:tcPr>
          <w:p w14:paraId="14E91608">
            <w:pPr>
              <w:pStyle w:val="3"/>
              <w:overflowPunct w:val="0"/>
              <w:ind w:left="1260" w:firstLine="0"/>
              <w:rPr>
                <w:rFonts w:ascii="宋体" w:hAnsi="宋体"/>
                <w:color w:val="auto"/>
                <w:sz w:val="24"/>
                <w:szCs w:val="24"/>
                <w:highlight w:val="none"/>
              </w:rPr>
            </w:pPr>
          </w:p>
        </w:tc>
      </w:tr>
      <w:tr w14:paraId="0DCB3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7E3412E2">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近两年来完成或正在履行的重大合同情况</w:t>
            </w:r>
          </w:p>
        </w:tc>
        <w:tc>
          <w:tcPr>
            <w:tcW w:w="6219" w:type="dxa"/>
            <w:gridSpan w:val="4"/>
          </w:tcPr>
          <w:p w14:paraId="3BD5992F">
            <w:pPr>
              <w:pStyle w:val="3"/>
              <w:overflowPunct w:val="0"/>
              <w:ind w:left="1260" w:firstLine="0"/>
              <w:rPr>
                <w:rFonts w:ascii="宋体" w:hAnsi="宋体"/>
                <w:color w:val="auto"/>
                <w:sz w:val="24"/>
                <w:szCs w:val="24"/>
                <w:highlight w:val="none"/>
              </w:rPr>
            </w:pPr>
          </w:p>
        </w:tc>
      </w:tr>
      <w:tr w14:paraId="5F4BA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39728992">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2</w:t>
            </w:r>
            <w:r>
              <w:rPr>
                <w:rFonts w:hint="eastAsia" w:ascii="宋体" w:hAnsi="宋体"/>
                <w:color w:val="auto"/>
                <w:sz w:val="24"/>
                <w:szCs w:val="24"/>
                <w:highlight w:val="none"/>
              </w:rPr>
              <w:t>年内在经营过程中受到何种奖励或处分（包括情况和结果）</w:t>
            </w:r>
          </w:p>
        </w:tc>
        <w:tc>
          <w:tcPr>
            <w:tcW w:w="6219" w:type="dxa"/>
            <w:gridSpan w:val="4"/>
          </w:tcPr>
          <w:p w14:paraId="030AA1ED">
            <w:pPr>
              <w:pStyle w:val="3"/>
              <w:overflowPunct w:val="0"/>
              <w:ind w:left="1260" w:firstLine="0"/>
              <w:rPr>
                <w:rFonts w:ascii="宋体" w:hAnsi="宋体"/>
                <w:color w:val="auto"/>
                <w:sz w:val="24"/>
                <w:szCs w:val="24"/>
                <w:highlight w:val="none"/>
              </w:rPr>
            </w:pPr>
          </w:p>
        </w:tc>
      </w:tr>
      <w:tr w14:paraId="25F78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0B3DEFED">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3</w:t>
            </w:r>
            <w:r>
              <w:rPr>
                <w:rFonts w:hint="eastAsia" w:ascii="宋体" w:hAnsi="宋体"/>
                <w:color w:val="auto"/>
                <w:sz w:val="24"/>
                <w:szCs w:val="24"/>
                <w:highlight w:val="none"/>
              </w:rPr>
              <w:t>年内有无因售假、售劣或是其他原因被消费者投诉或起诉的情况及说明（包括解决方式和结果）</w:t>
            </w:r>
          </w:p>
        </w:tc>
        <w:tc>
          <w:tcPr>
            <w:tcW w:w="6219" w:type="dxa"/>
            <w:gridSpan w:val="4"/>
          </w:tcPr>
          <w:p w14:paraId="62B93465">
            <w:pPr>
              <w:pStyle w:val="3"/>
              <w:overflowPunct w:val="0"/>
              <w:ind w:left="1260" w:firstLine="0"/>
              <w:rPr>
                <w:rFonts w:ascii="宋体" w:hAnsi="宋体"/>
                <w:color w:val="auto"/>
                <w:sz w:val="24"/>
                <w:szCs w:val="24"/>
                <w:highlight w:val="none"/>
              </w:rPr>
            </w:pPr>
          </w:p>
        </w:tc>
      </w:tr>
      <w:tr w14:paraId="5DDF0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4E569B4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3</w:t>
            </w:r>
            <w:r>
              <w:rPr>
                <w:rFonts w:hint="eastAsia" w:ascii="宋体" w:hAnsi="宋体"/>
                <w:color w:val="auto"/>
                <w:sz w:val="24"/>
                <w:szCs w:val="24"/>
                <w:highlight w:val="none"/>
              </w:rPr>
              <w:t>年内主要负责人有无因经济犯罪被司法机关追究的情况及说明</w:t>
            </w:r>
          </w:p>
        </w:tc>
        <w:tc>
          <w:tcPr>
            <w:tcW w:w="6219" w:type="dxa"/>
            <w:gridSpan w:val="4"/>
          </w:tcPr>
          <w:p w14:paraId="3381BD7F">
            <w:pPr>
              <w:pStyle w:val="3"/>
              <w:overflowPunct w:val="0"/>
              <w:ind w:left="1260" w:firstLine="0"/>
              <w:rPr>
                <w:rFonts w:ascii="宋体" w:hAnsi="宋体"/>
                <w:color w:val="auto"/>
                <w:sz w:val="24"/>
                <w:szCs w:val="24"/>
                <w:highlight w:val="none"/>
              </w:rPr>
            </w:pPr>
          </w:p>
        </w:tc>
      </w:tr>
      <w:tr w14:paraId="5827A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52867935">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获得技术认证的工程师及简介</w:t>
            </w:r>
          </w:p>
        </w:tc>
        <w:tc>
          <w:tcPr>
            <w:tcW w:w="6219" w:type="dxa"/>
            <w:gridSpan w:val="4"/>
          </w:tcPr>
          <w:p w14:paraId="2F74FB08">
            <w:pPr>
              <w:pStyle w:val="3"/>
              <w:overflowPunct w:val="0"/>
              <w:ind w:left="1260" w:firstLine="0"/>
              <w:rPr>
                <w:rFonts w:ascii="宋体" w:hAnsi="宋体"/>
                <w:color w:val="auto"/>
                <w:sz w:val="24"/>
                <w:szCs w:val="24"/>
                <w:highlight w:val="none"/>
              </w:rPr>
            </w:pPr>
          </w:p>
        </w:tc>
      </w:tr>
      <w:tr w14:paraId="5B118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309" w:type="dxa"/>
          </w:tcPr>
          <w:p w14:paraId="02792DA5">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其他需要说明的情况</w:t>
            </w:r>
          </w:p>
        </w:tc>
        <w:tc>
          <w:tcPr>
            <w:tcW w:w="6219" w:type="dxa"/>
            <w:gridSpan w:val="4"/>
          </w:tcPr>
          <w:p w14:paraId="4B0C2447">
            <w:pPr>
              <w:pStyle w:val="3"/>
              <w:overflowPunct w:val="0"/>
              <w:ind w:left="1260" w:firstLine="0"/>
              <w:rPr>
                <w:rFonts w:ascii="宋体" w:hAnsi="宋体"/>
                <w:color w:val="auto"/>
                <w:sz w:val="24"/>
                <w:szCs w:val="24"/>
                <w:highlight w:val="none"/>
              </w:rPr>
            </w:pPr>
          </w:p>
        </w:tc>
      </w:tr>
    </w:tbl>
    <w:p w14:paraId="4362D400">
      <w:pPr>
        <w:rPr>
          <w:rFonts w:ascii="宋体" w:hAnsi="宋体"/>
          <w:color w:val="auto"/>
          <w:sz w:val="24"/>
          <w:highlight w:val="none"/>
        </w:rPr>
      </w:pPr>
      <w:r>
        <w:rPr>
          <w:rFonts w:hint="eastAsia" w:ascii="宋体" w:hAnsi="宋体"/>
          <w:b/>
          <w:color w:val="auto"/>
          <w:sz w:val="32"/>
          <w:szCs w:val="32"/>
          <w:highlight w:val="none"/>
        </w:rPr>
        <w:br w:type="page"/>
      </w:r>
    </w:p>
    <w:p w14:paraId="2A0B7941">
      <w:pPr>
        <w:spacing w:line="360" w:lineRule="auto"/>
        <w:rPr>
          <w:rFonts w:hint="eastAsia" w:ascii="宋体" w:hAnsi="宋体" w:eastAsia="宋体" w:cs="宋体"/>
          <w:b/>
          <w:bCs/>
          <w:color w:val="auto"/>
          <w:sz w:val="21"/>
          <w:szCs w:val="21"/>
          <w:highlight w:val="none"/>
          <w:lang w:val="zh-CN"/>
        </w:rPr>
      </w:pPr>
      <w:r>
        <w:rPr>
          <w:rFonts w:hint="eastAsia" w:ascii="宋体" w:hAnsi="宋体"/>
          <w:b/>
          <w:color w:val="auto"/>
          <w:sz w:val="32"/>
          <w:szCs w:val="32"/>
          <w:highlight w:val="none"/>
          <w:lang w:val="en-US" w:eastAsia="zh-CN"/>
        </w:rPr>
        <w:t>7</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p>
    <w:p w14:paraId="66FC4D6D">
      <w:pPr>
        <w:autoSpaceDE w:val="0"/>
        <w:autoSpaceDN w:val="0"/>
        <w:adjustRightInd w:val="0"/>
        <w:spacing w:line="400" w:lineRule="exact"/>
        <w:rPr>
          <w:rFonts w:hint="eastAsia" w:asciiTheme="majorEastAsia" w:hAnsiTheme="majorEastAsia" w:eastAsiaTheme="majorEastAsia" w:cstheme="majorEastAsia"/>
          <w:b/>
          <w:color w:val="auto"/>
          <w:sz w:val="24"/>
          <w:szCs w:val="24"/>
          <w:highlight w:val="none"/>
          <w:lang w:val="zh-CN"/>
        </w:rPr>
      </w:pPr>
      <w:r>
        <w:rPr>
          <w:rFonts w:hint="eastAsia" w:ascii="宋体" w:hAnsi="宋体" w:cs="宋体"/>
          <w:b/>
          <w:color w:val="auto"/>
          <w:sz w:val="21"/>
          <w:szCs w:val="21"/>
          <w:highlight w:val="none"/>
        </w:rPr>
        <w:t xml:space="preserve">                              </w:t>
      </w:r>
    </w:p>
    <w:p w14:paraId="429CD55F">
      <w:pPr>
        <w:jc w:val="center"/>
        <w:rPr>
          <w:rFonts w:ascii="宋体" w:hAnsi="Times New Roman" w:eastAsia="宋体" w:cs="Times New Roman"/>
          <w:color w:val="auto"/>
          <w:kern w:val="0"/>
          <w:sz w:val="28"/>
          <w:highlight w:val="none"/>
          <w:lang w:val="en-US" w:eastAsia="zh-CN" w:bidi="ar-SA"/>
        </w:rPr>
      </w:pPr>
      <w:r>
        <w:rPr>
          <w:rFonts w:ascii="宋体" w:hAnsi="宋体" w:eastAsia="宋体" w:cs="Times New Roman"/>
          <w:color w:val="auto"/>
          <w:sz w:val="28"/>
          <w:szCs w:val="28"/>
          <w:highlight w:val="none"/>
        </w:rPr>
        <w:t>中小企业声明函（服务）</w:t>
      </w:r>
    </w:p>
    <w:p w14:paraId="7A1E7684">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Times New Roman"/>
          <w:b w:val="0"/>
          <w:bCs w:val="0"/>
          <w:i w:val="0"/>
          <w:iCs w:val="0"/>
          <w:color w:val="auto"/>
          <w:sz w:val="24"/>
          <w:highlight w:val="none"/>
        </w:rPr>
        <w:t>本公司郑重声明，根据《政府采购促进中小企业发展管理办法》（财库</w:t>
      </w:r>
      <w:r>
        <w:rPr>
          <w:rFonts w:hint="eastAsia" w:ascii="宋体" w:hAnsi="宋体" w:eastAsia="宋体" w:cs="Times New Roman"/>
          <w:b w:val="0"/>
          <w:bCs w:val="0"/>
          <w:i w:val="0"/>
          <w:iCs w:val="0"/>
          <w:color w:val="auto"/>
          <w:sz w:val="24"/>
          <w:highlight w:val="none"/>
        </w:rPr>
        <w:t>﹝</w:t>
      </w:r>
      <w:r>
        <w:rPr>
          <w:rFonts w:ascii="宋体" w:hAnsi="宋体" w:eastAsia="宋体" w:cs="Times New Roman"/>
          <w:b w:val="0"/>
          <w:bCs w:val="0"/>
          <w:i w:val="0"/>
          <w:iCs w:val="0"/>
          <w:color w:val="auto"/>
          <w:sz w:val="24"/>
          <w:highlight w:val="none"/>
        </w:rPr>
        <w:t>2020</w:t>
      </w:r>
      <w:r>
        <w:rPr>
          <w:rFonts w:hint="eastAsia" w:ascii="宋体" w:hAnsi="宋体" w:eastAsia="宋体" w:cs="Times New Roman"/>
          <w:b w:val="0"/>
          <w:bCs w:val="0"/>
          <w:i w:val="0"/>
          <w:iCs w:val="0"/>
          <w:color w:val="auto"/>
          <w:sz w:val="24"/>
          <w:highlight w:val="none"/>
        </w:rPr>
        <w:t>﹞</w:t>
      </w:r>
      <w:r>
        <w:rPr>
          <w:rFonts w:ascii="宋体" w:hAnsi="宋体" w:eastAsia="宋体" w:cs="Times New Roman"/>
          <w:b w:val="0"/>
          <w:bCs w:val="0"/>
          <w:i w:val="0"/>
          <w:iCs w:val="0"/>
          <w:color w:val="auto"/>
          <w:sz w:val="24"/>
          <w:highlight w:val="none"/>
        </w:rPr>
        <w:t>46号）的规定，</w:t>
      </w:r>
      <w:r>
        <w:rPr>
          <w:rFonts w:hint="eastAsia" w:ascii="宋体" w:hAnsi="宋体" w:eastAsia="宋体" w:cs="宋体"/>
          <w:color w:val="auto"/>
          <w:sz w:val="24"/>
          <w:szCs w:val="24"/>
          <w:highlight w:val="none"/>
        </w:rPr>
        <w:t>本公司参加</w:t>
      </w:r>
      <w:r>
        <w:rPr>
          <w:rFonts w:hint="eastAsia" w:ascii="宋体" w:hAnsi="宋体" w:cs="宋体"/>
          <w:color w:val="auto"/>
          <w:kern w:val="0"/>
          <w:sz w:val="24"/>
          <w:szCs w:val="24"/>
          <w:highlight w:val="none"/>
          <w:u w:val="single"/>
          <w:lang w:eastAsia="zh-CN"/>
        </w:rPr>
        <w:t>太仓港经济技术开发区管理委员会</w:t>
      </w:r>
      <w:r>
        <w:rPr>
          <w:rFonts w:hint="eastAsia" w:ascii="宋体" w:hAnsi="宋体" w:eastAsia="宋体" w:cs="宋体"/>
          <w:i w:val="0"/>
          <w:iCs/>
          <w:color w:val="auto"/>
          <w:sz w:val="24"/>
          <w:szCs w:val="24"/>
          <w:highlight w:val="none"/>
        </w:rPr>
        <w:t>的</w:t>
      </w:r>
      <w:r>
        <w:rPr>
          <w:rFonts w:hint="eastAsia" w:ascii="宋体" w:hAnsi="宋体" w:cs="宋体"/>
          <w:color w:val="auto"/>
          <w:kern w:val="0"/>
          <w:sz w:val="24"/>
          <w:szCs w:val="24"/>
          <w:highlight w:val="none"/>
          <w:u w:val="single"/>
          <w:lang w:eastAsia="zh-CN"/>
        </w:rPr>
        <w:t>2026年度港区建设项目环评和危废发证技术评估</w:t>
      </w:r>
      <w:r>
        <w:rPr>
          <w:rFonts w:hint="eastAsia" w:ascii="宋体" w:hAnsi="宋体" w:eastAsia="宋体" w:cs="宋体"/>
          <w:i w:val="0"/>
          <w:iCs/>
          <w:color w:val="auto"/>
          <w:sz w:val="24"/>
          <w:szCs w:val="24"/>
          <w:highlight w:val="none"/>
        </w:rPr>
        <w:t>采</w:t>
      </w:r>
      <w:r>
        <w:rPr>
          <w:rFonts w:hint="eastAsia" w:ascii="宋体" w:hAnsi="宋体" w:eastAsia="宋体" w:cs="宋体"/>
          <w:color w:val="auto"/>
          <w:sz w:val="24"/>
          <w:szCs w:val="24"/>
          <w:highlight w:val="none"/>
        </w:rPr>
        <w:t>购活动，服务全部由符合政策要求的中小企业承接。相关企业的具体情况如下：</w:t>
      </w:r>
    </w:p>
    <w:p w14:paraId="4191C60A">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cs="宋体"/>
          <w:color w:val="auto"/>
          <w:kern w:val="0"/>
          <w:sz w:val="24"/>
          <w:szCs w:val="24"/>
          <w:highlight w:val="none"/>
          <w:u w:val="single"/>
          <w:lang w:eastAsia="zh-CN"/>
        </w:rPr>
        <w:t>2026年度港区建设项目环评和危废发证技术评估</w:t>
      </w:r>
      <w:r>
        <w:rPr>
          <w:rFonts w:hint="eastAsia" w:ascii="宋体" w:hAnsi="宋体" w:eastAsia="宋体" w:cs="宋体"/>
          <w:i w:val="0"/>
          <w:iCs w:val="0"/>
          <w:color w:val="auto"/>
          <w:sz w:val="24"/>
          <w:szCs w:val="24"/>
          <w:highlight w:val="none"/>
        </w:rPr>
        <w:t xml:space="preserve"> 属于（十六）其他未列明行业  ；承接企业为</w:t>
      </w:r>
      <w:r>
        <w:rPr>
          <w:rFonts w:hint="eastAsia" w:ascii="宋体" w:hAnsi="宋体" w:eastAsia="宋体" w:cs="宋体"/>
          <w:i w:val="0"/>
          <w:iCs w:val="0"/>
          <w:color w:val="auto"/>
          <w:sz w:val="24"/>
          <w:szCs w:val="24"/>
          <w:highlight w:val="none"/>
          <w:u w:val="single"/>
        </w:rPr>
        <w:t>（企业名称）</w:t>
      </w:r>
      <w:r>
        <w:rPr>
          <w:rFonts w:hint="eastAsia" w:ascii="宋体" w:hAnsi="宋体" w:eastAsia="宋体" w:cs="宋体"/>
          <w:i w:val="0"/>
          <w:iCs w:val="0"/>
          <w:color w:val="auto"/>
          <w:sz w:val="24"/>
          <w:szCs w:val="24"/>
          <w:highlight w:val="none"/>
        </w:rPr>
        <w:t>，从业人员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万元，属于</w:t>
      </w:r>
      <w:r>
        <w:rPr>
          <w:rFonts w:hint="eastAsia" w:ascii="宋体" w:hAnsi="宋体" w:eastAsia="宋体" w:cs="宋体"/>
          <w:i w:val="0"/>
          <w:iCs w:val="0"/>
          <w:color w:val="auto"/>
          <w:sz w:val="24"/>
          <w:szCs w:val="24"/>
          <w:highlight w:val="none"/>
          <w:u w:val="single"/>
        </w:rPr>
        <w:t>（中型企业、小型企业、微型企业）</w:t>
      </w:r>
      <w:r>
        <w:rPr>
          <w:rFonts w:hint="eastAsia" w:ascii="宋体" w:hAnsi="宋体" w:eastAsia="宋体" w:cs="宋体"/>
          <w:i w:val="0"/>
          <w:iCs w:val="0"/>
          <w:color w:val="auto"/>
          <w:sz w:val="24"/>
          <w:szCs w:val="24"/>
          <w:highlight w:val="none"/>
        </w:rPr>
        <w:t>；</w:t>
      </w:r>
    </w:p>
    <w:p w14:paraId="370B1A3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7C2BC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6AEC0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38F262CB">
      <w:pPr>
        <w:spacing w:line="360" w:lineRule="auto"/>
        <w:ind w:firstLine="4800" w:firstLineChars="20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321D0F3C">
      <w:pPr>
        <w:spacing w:line="360" w:lineRule="auto"/>
        <w:ind w:right="1120" w:firstLine="4800" w:firstLineChars="20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75B2F18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从业人员、营业收入、资产总额填报上一年度数据，无上一年度数据的新成立企业可不填报。</w:t>
      </w:r>
    </w:p>
    <w:p w14:paraId="570D34A2">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ascii="Times New Roman" w:hAnsi="Times New Roman" w:eastAsia="宋体" w:cs="Times New Roman"/>
          <w:color w:val="auto"/>
          <w:highlight w:val="none"/>
        </w:rPr>
      </w:pPr>
      <w:r>
        <w:rPr>
          <w:rFonts w:ascii="宋体" w:hAnsi="宋体" w:eastAsia="宋体" w:cs="宋体"/>
          <w:b/>
          <w:color w:val="auto"/>
          <w:sz w:val="22"/>
          <w:highlight w:val="none"/>
        </w:rPr>
        <w:t>备注：</w:t>
      </w:r>
    </w:p>
    <w:p w14:paraId="7BE789F4">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Times New Roman" w:hAnsi="Times New Roman" w:eastAsia="宋体" w:cs="Times New Roman"/>
          <w:color w:val="auto"/>
          <w:highlight w:val="none"/>
        </w:rPr>
      </w:pPr>
      <w:r>
        <w:rPr>
          <w:rFonts w:ascii="宋体" w:hAnsi="宋体" w:eastAsia="宋体" w:cs="宋体"/>
          <w:color w:val="auto"/>
          <w:sz w:val="24"/>
          <w:highlight w:val="none"/>
        </w:rPr>
        <w:t>1、</w:t>
      </w:r>
      <w:r>
        <w:rPr>
          <w:rFonts w:ascii="宋体" w:hAnsi="宋体" w:eastAsia="宋体" w:cs="宋体"/>
          <w:b/>
          <w:color w:val="auto"/>
          <w:sz w:val="24"/>
          <w:highlight w:val="none"/>
        </w:rPr>
        <w:t>本项目专门面向中小企业采购，投标人应提供中小企业声明函或残疾人福利性单位声明函或省级以上监狱管理局、戒毒管理局（含新疆生产建设兵团）出具的属于监狱企业的证明文件,否则视为投标无效</w:t>
      </w:r>
    </w:p>
    <w:p w14:paraId="035F6226">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Times New Roman" w:hAnsi="Times New Roman" w:eastAsia="宋体" w:cs="Times New Roman"/>
          <w:color w:val="auto"/>
          <w:highlight w:val="none"/>
        </w:rPr>
      </w:pPr>
      <w:r>
        <w:rPr>
          <w:rFonts w:ascii="宋体" w:hAnsi="宋体" w:eastAsia="宋体" w:cs="宋体"/>
          <w:color w:val="auto"/>
          <w:sz w:val="24"/>
          <w:highlight w:val="none"/>
        </w:rPr>
        <w:t>2、投标人提供的中小企业声明函必须包含本项目所有服务及其服务承接企业，并按照声明函格式填写完整、明确，否则视为未按规定提供声明函，投标无效。</w:t>
      </w:r>
    </w:p>
    <w:p w14:paraId="3858711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Times New Roman" w:hAnsi="Times New Roman" w:eastAsia="宋体" w:cs="Times New Roman"/>
          <w:color w:val="auto"/>
          <w:highlight w:val="none"/>
        </w:rPr>
      </w:pPr>
      <w:r>
        <w:rPr>
          <w:rFonts w:ascii="宋体" w:hAnsi="宋体" w:eastAsia="宋体" w:cs="宋体"/>
          <w:color w:val="auto"/>
          <w:sz w:val="24"/>
          <w:highlight w:val="none"/>
        </w:rPr>
        <w:t>3、中标、成交供应商享受规定的中小企业扶持政策的，《中小企业声明函》应当随中标、成交结果同时公告，接受社会监督。</w:t>
      </w:r>
    </w:p>
    <w:p w14:paraId="0328A7E0">
      <w:pPr>
        <w:pStyle w:val="12"/>
        <w:spacing w:before="0" w:beforeAutospacing="0" w:after="0" w:afterAutospacing="0" w:line="480" w:lineRule="atLeast"/>
        <w:rPr>
          <w:rFonts w:hint="eastAsia"/>
          <w:b/>
          <w:color w:val="auto"/>
          <w:sz w:val="32"/>
          <w:szCs w:val="32"/>
          <w:highlight w:val="none"/>
          <w:lang w:val="en-US" w:eastAsia="zh-CN"/>
        </w:rPr>
      </w:pPr>
    </w:p>
    <w:p w14:paraId="2F35C1E9">
      <w:pPr>
        <w:pStyle w:val="12"/>
        <w:spacing w:before="0" w:beforeAutospacing="0" w:after="0" w:afterAutospacing="0" w:line="480" w:lineRule="atLeast"/>
        <w:rPr>
          <w:rFonts w:hint="eastAsia"/>
          <w:b/>
          <w:color w:val="auto"/>
          <w:sz w:val="32"/>
          <w:szCs w:val="32"/>
          <w:highlight w:val="none"/>
          <w:lang w:val="en-US" w:eastAsia="zh-CN"/>
        </w:rPr>
      </w:pPr>
    </w:p>
    <w:p w14:paraId="1B94BEAE">
      <w:pPr>
        <w:pStyle w:val="12"/>
        <w:spacing w:before="0" w:beforeAutospacing="0" w:after="0" w:afterAutospacing="0" w:line="480" w:lineRule="atLeast"/>
        <w:rPr>
          <w:rFonts w:hint="eastAsia"/>
          <w:b/>
          <w:color w:val="auto"/>
          <w:sz w:val="32"/>
          <w:szCs w:val="32"/>
          <w:highlight w:val="none"/>
          <w:lang w:val="en-US" w:eastAsia="zh-CN"/>
        </w:rPr>
      </w:pPr>
    </w:p>
    <w:p w14:paraId="402D480B">
      <w:pPr>
        <w:pStyle w:val="12"/>
        <w:spacing w:before="0" w:beforeAutospacing="0" w:after="0" w:afterAutospacing="0" w:line="480" w:lineRule="atLeast"/>
        <w:rPr>
          <w:rFonts w:hint="eastAsia"/>
          <w:b/>
          <w:color w:val="auto"/>
          <w:sz w:val="32"/>
          <w:szCs w:val="32"/>
          <w:highlight w:val="none"/>
          <w:lang w:val="en-US" w:eastAsia="zh-CN"/>
        </w:rPr>
      </w:pPr>
    </w:p>
    <w:p w14:paraId="11F023A4">
      <w:pPr>
        <w:pStyle w:val="12"/>
        <w:spacing w:before="0" w:beforeAutospacing="0" w:after="0" w:afterAutospacing="0" w:line="480" w:lineRule="atLeast"/>
        <w:rPr>
          <w:rFonts w:hint="eastAsia"/>
          <w:b/>
          <w:color w:val="auto"/>
          <w:sz w:val="32"/>
          <w:szCs w:val="32"/>
          <w:highlight w:val="none"/>
          <w:lang w:val="en-US" w:eastAsia="zh-CN"/>
        </w:rPr>
      </w:pPr>
    </w:p>
    <w:p w14:paraId="19815278">
      <w:pPr>
        <w:pStyle w:val="12"/>
        <w:spacing w:before="0" w:beforeAutospacing="0" w:after="0" w:afterAutospacing="0" w:line="480" w:lineRule="atLeast"/>
        <w:rPr>
          <w:rFonts w:eastAsia="宋体" w:cs="Times New Roman"/>
          <w:b/>
          <w:color w:val="auto"/>
          <w:kern w:val="2"/>
          <w:sz w:val="32"/>
          <w:szCs w:val="32"/>
          <w:highlight w:val="none"/>
        </w:rPr>
      </w:pPr>
      <w:r>
        <w:rPr>
          <w:rFonts w:hint="eastAsia"/>
          <w:b/>
          <w:color w:val="auto"/>
          <w:sz w:val="32"/>
          <w:szCs w:val="32"/>
          <w:highlight w:val="none"/>
          <w:lang w:val="en-US" w:eastAsia="zh-CN"/>
        </w:rPr>
        <w:t>8</w:t>
      </w:r>
      <w:r>
        <w:rPr>
          <w:rFonts w:hint="eastAsia"/>
          <w:b/>
          <w:color w:val="auto"/>
          <w:sz w:val="32"/>
          <w:szCs w:val="32"/>
          <w:highlight w:val="none"/>
        </w:rPr>
        <w:t>、</w:t>
      </w:r>
      <w:r>
        <w:rPr>
          <w:rFonts w:eastAsia="宋体" w:cs="Times New Roman"/>
          <w:b/>
          <w:color w:val="auto"/>
          <w:kern w:val="2"/>
          <w:sz w:val="32"/>
          <w:szCs w:val="32"/>
          <w:highlight w:val="none"/>
        </w:rPr>
        <w:t>残疾人福利性单位声明函</w:t>
      </w:r>
    </w:p>
    <w:p w14:paraId="5FF94A17">
      <w:pPr>
        <w:widowControl/>
        <w:spacing w:line="480" w:lineRule="atLeast"/>
        <w:jc w:val="left"/>
        <w:rPr>
          <w:rFonts w:ascii="宋体" w:hAnsi="宋体"/>
          <w:b/>
          <w:color w:val="auto"/>
          <w:sz w:val="32"/>
          <w:szCs w:val="32"/>
          <w:highlight w:val="none"/>
        </w:rPr>
      </w:pPr>
    </w:p>
    <w:p w14:paraId="10150E16">
      <w:pPr>
        <w:widowControl/>
        <w:spacing w:line="480" w:lineRule="atLeast"/>
        <w:ind w:firstLine="2560" w:firstLineChars="800"/>
        <w:jc w:val="left"/>
        <w:rPr>
          <w:rFonts w:ascii="宋体" w:hAnsi="宋体"/>
          <w:color w:val="auto"/>
          <w:sz w:val="32"/>
          <w:szCs w:val="32"/>
          <w:highlight w:val="none"/>
        </w:rPr>
      </w:pPr>
      <w:r>
        <w:rPr>
          <w:rFonts w:ascii="宋体" w:hAnsi="宋体"/>
          <w:color w:val="auto"/>
          <w:sz w:val="32"/>
          <w:szCs w:val="32"/>
          <w:highlight w:val="none"/>
        </w:rPr>
        <w:t>残疾人福利性单位声明函</w:t>
      </w:r>
    </w:p>
    <w:p w14:paraId="76B134A4">
      <w:pPr>
        <w:widowControl/>
        <w:spacing w:line="480" w:lineRule="atLeast"/>
        <w:ind w:firstLine="1928" w:firstLineChars="600"/>
        <w:jc w:val="left"/>
        <w:rPr>
          <w:rFonts w:ascii="宋体" w:hAnsi="宋体"/>
          <w:b/>
          <w:color w:val="auto"/>
          <w:sz w:val="32"/>
          <w:szCs w:val="32"/>
          <w:highlight w:val="none"/>
        </w:rPr>
      </w:pPr>
    </w:p>
    <w:p w14:paraId="56C5B91D">
      <w:pPr>
        <w:widowControl/>
        <w:spacing w:line="480" w:lineRule="atLeast"/>
        <w:ind w:firstLine="480" w:firstLineChars="200"/>
        <w:jc w:val="left"/>
        <w:rPr>
          <w:rFonts w:ascii="宋体" w:hAnsi="宋体" w:cs="宋体"/>
          <w:color w:val="auto"/>
          <w:kern w:val="0"/>
          <w:sz w:val="24"/>
          <w:szCs w:val="24"/>
          <w:highlight w:val="none"/>
        </w:rPr>
      </w:pPr>
      <w:r>
        <w:rPr>
          <w:rFonts w:ascii="宋体" w:hAnsi="宋体" w:cs="宋体"/>
          <w:color w:val="auto"/>
          <w:kern w:val="0"/>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kern w:val="0"/>
          <w:sz w:val="24"/>
          <w:szCs w:val="24"/>
          <w:highlight w:val="none"/>
          <w:u w:val="single"/>
          <w:lang w:eastAsia="zh-CN"/>
        </w:rPr>
        <w:t>太仓港经济技术开发区管理委员会</w:t>
      </w:r>
      <w:r>
        <w:rPr>
          <w:rFonts w:ascii="宋体" w:hAnsi="宋体" w:cs="宋体"/>
          <w:color w:val="auto"/>
          <w:kern w:val="0"/>
          <w:sz w:val="24"/>
          <w:szCs w:val="24"/>
          <w:highlight w:val="none"/>
        </w:rPr>
        <w:t>单位的</w:t>
      </w:r>
      <w:r>
        <w:rPr>
          <w:rFonts w:hint="eastAsia" w:ascii="宋体" w:hAnsi="宋体" w:cs="宋体"/>
          <w:color w:val="auto"/>
          <w:kern w:val="0"/>
          <w:sz w:val="24"/>
          <w:szCs w:val="24"/>
          <w:highlight w:val="none"/>
          <w:u w:val="single"/>
          <w:lang w:eastAsia="zh-CN"/>
        </w:rPr>
        <w:t>2026年度港区建设项目环评和危废发证技术评估</w:t>
      </w:r>
      <w:r>
        <w:rPr>
          <w:rFonts w:ascii="宋体" w:hAnsi="宋体" w:cs="宋体"/>
          <w:color w:val="auto"/>
          <w:kern w:val="0"/>
          <w:sz w:val="24"/>
          <w:szCs w:val="24"/>
          <w:highlight w:val="none"/>
        </w:rPr>
        <w:t>采购活动提供本单位制造的货物（由本单位承担工程/提供服务），或者提供其他残疾人福利性单位制造的货物（不包括使用非残疾人福利性单位注册商标的货物）。</w:t>
      </w:r>
    </w:p>
    <w:p w14:paraId="78601478">
      <w:pPr>
        <w:widowControl/>
        <w:spacing w:line="480" w:lineRule="atLeast"/>
        <w:ind w:firstLine="480" w:firstLineChars="200"/>
        <w:jc w:val="left"/>
        <w:rPr>
          <w:rFonts w:ascii="宋体" w:hAnsi="宋体" w:cs="宋体"/>
          <w:color w:val="auto"/>
          <w:kern w:val="0"/>
          <w:sz w:val="24"/>
          <w:szCs w:val="24"/>
          <w:highlight w:val="none"/>
        </w:rPr>
      </w:pPr>
      <w:r>
        <w:rPr>
          <w:rFonts w:ascii="宋体" w:hAnsi="宋体" w:cs="宋体"/>
          <w:color w:val="auto"/>
          <w:kern w:val="0"/>
          <w:sz w:val="24"/>
          <w:szCs w:val="24"/>
          <w:highlight w:val="none"/>
        </w:rPr>
        <w:t>本单位对上述声明的真实性负责。如有虚假，将依法承担相应责任。</w:t>
      </w:r>
    </w:p>
    <w:p w14:paraId="1EA7C4BC">
      <w:pPr>
        <w:widowControl/>
        <w:spacing w:line="480" w:lineRule="atLeast"/>
        <w:jc w:val="left"/>
        <w:rPr>
          <w:rFonts w:ascii="宋体" w:hAnsi="宋体" w:cs="宋体"/>
          <w:color w:val="auto"/>
          <w:kern w:val="0"/>
          <w:sz w:val="24"/>
          <w:szCs w:val="24"/>
          <w:highlight w:val="none"/>
        </w:rPr>
      </w:pPr>
    </w:p>
    <w:p w14:paraId="530F5B25">
      <w:pPr>
        <w:widowControl/>
        <w:spacing w:line="480" w:lineRule="atLeast"/>
        <w:jc w:val="left"/>
        <w:rPr>
          <w:rFonts w:ascii="宋体" w:hAnsi="宋体" w:cs="宋体"/>
          <w:color w:val="auto"/>
          <w:kern w:val="0"/>
          <w:sz w:val="24"/>
          <w:szCs w:val="24"/>
          <w:highlight w:val="none"/>
        </w:rPr>
      </w:pPr>
    </w:p>
    <w:p w14:paraId="21091026">
      <w:pPr>
        <w:widowControl/>
        <w:spacing w:line="480" w:lineRule="atLeast"/>
        <w:jc w:val="left"/>
        <w:rPr>
          <w:rFonts w:ascii="宋体" w:hAnsi="宋体" w:cs="宋体"/>
          <w:color w:val="auto"/>
          <w:kern w:val="0"/>
          <w:sz w:val="24"/>
          <w:szCs w:val="24"/>
          <w:highlight w:val="none"/>
        </w:rPr>
      </w:pP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 xml:space="preserve">                 </w:t>
      </w:r>
      <w:r>
        <w:rPr>
          <w:rFonts w:ascii="宋体" w:hAnsi="宋体" w:cs="宋体"/>
          <w:color w:val="auto"/>
          <w:kern w:val="0"/>
          <w:sz w:val="24"/>
          <w:szCs w:val="24"/>
          <w:highlight w:val="none"/>
        </w:rPr>
        <w:t>   </w:t>
      </w:r>
      <w:r>
        <w:rPr>
          <w:rFonts w:hint="eastAsia" w:ascii="宋体" w:hAnsi="宋体" w:cs="宋体"/>
          <w:color w:val="auto"/>
          <w:kern w:val="0"/>
          <w:sz w:val="24"/>
          <w:szCs w:val="24"/>
          <w:highlight w:val="none"/>
        </w:rPr>
        <w:t xml:space="preserve">           </w:t>
      </w:r>
      <w:r>
        <w:rPr>
          <w:rFonts w:ascii="宋体" w:hAnsi="宋体" w:cs="宋体"/>
          <w:color w:val="auto"/>
          <w:kern w:val="0"/>
          <w:sz w:val="24"/>
          <w:szCs w:val="24"/>
          <w:highlight w:val="none"/>
        </w:rPr>
        <w:t xml:space="preserve"> 单位名称（盖章）：</w:t>
      </w:r>
    </w:p>
    <w:p w14:paraId="26363E2D">
      <w:pPr>
        <w:widowControl/>
        <w:spacing w:line="480" w:lineRule="atLeast"/>
        <w:jc w:val="left"/>
        <w:rPr>
          <w:rFonts w:ascii="宋体" w:hAnsi="宋体" w:cs="宋体"/>
          <w:color w:val="auto"/>
          <w:kern w:val="0"/>
          <w:sz w:val="24"/>
          <w:szCs w:val="24"/>
          <w:highlight w:val="none"/>
        </w:rPr>
      </w:pP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 xml:space="preserve">                </w:t>
      </w:r>
      <w:r>
        <w:rPr>
          <w:rFonts w:ascii="宋体" w:hAnsi="宋体" w:cs="宋体"/>
          <w:color w:val="auto"/>
          <w:kern w:val="0"/>
          <w:sz w:val="24"/>
          <w:szCs w:val="24"/>
          <w:highlight w:val="none"/>
        </w:rPr>
        <w:t> </w:t>
      </w:r>
      <w:r>
        <w:rPr>
          <w:rFonts w:hint="eastAsia" w:ascii="宋体" w:hAnsi="宋体" w:cs="宋体"/>
          <w:color w:val="auto"/>
          <w:kern w:val="0"/>
          <w:sz w:val="24"/>
          <w:szCs w:val="24"/>
          <w:highlight w:val="none"/>
        </w:rPr>
        <w:t xml:space="preserve"> </w:t>
      </w:r>
      <w:r>
        <w:rPr>
          <w:rFonts w:ascii="宋体" w:hAnsi="宋体" w:cs="宋体"/>
          <w:color w:val="auto"/>
          <w:kern w:val="0"/>
          <w:sz w:val="24"/>
          <w:szCs w:val="24"/>
          <w:highlight w:val="none"/>
        </w:rPr>
        <w:t xml:space="preserve"> 日 期：</w:t>
      </w:r>
    </w:p>
    <w:p w14:paraId="143B4248">
      <w:pPr>
        <w:spacing w:line="560" w:lineRule="exact"/>
        <w:jc w:val="left"/>
        <w:rPr>
          <w:rFonts w:ascii="宋体" w:hAnsi="宋体"/>
          <w:b/>
          <w:color w:val="auto"/>
          <w:sz w:val="24"/>
          <w:highlight w:val="none"/>
        </w:rPr>
      </w:pPr>
    </w:p>
    <w:p w14:paraId="3293353A">
      <w:pPr>
        <w:pStyle w:val="21"/>
        <w:ind w:firstLine="480"/>
        <w:rPr>
          <w:rFonts w:hAnsi="宋体"/>
          <w:color w:val="auto"/>
          <w:sz w:val="24"/>
          <w:highlight w:val="none"/>
        </w:rPr>
      </w:pPr>
    </w:p>
    <w:p w14:paraId="3E66BBDA">
      <w:pPr>
        <w:rPr>
          <w:rFonts w:ascii="宋体" w:hAnsi="宋体"/>
          <w:color w:val="auto"/>
          <w:sz w:val="24"/>
          <w:highlight w:val="none"/>
        </w:rPr>
      </w:pPr>
    </w:p>
    <w:p w14:paraId="06E3C2C6">
      <w:pPr>
        <w:pStyle w:val="21"/>
        <w:ind w:firstLine="480"/>
        <w:rPr>
          <w:rFonts w:hAnsi="宋体"/>
          <w:color w:val="auto"/>
          <w:sz w:val="24"/>
          <w:highlight w:val="none"/>
        </w:rPr>
      </w:pPr>
    </w:p>
    <w:p w14:paraId="48FD7180">
      <w:pPr>
        <w:rPr>
          <w:rFonts w:ascii="宋体" w:hAnsi="宋体"/>
          <w:color w:val="auto"/>
          <w:sz w:val="24"/>
          <w:highlight w:val="none"/>
        </w:rPr>
      </w:pPr>
    </w:p>
    <w:p w14:paraId="7124D2CB">
      <w:pPr>
        <w:pStyle w:val="21"/>
        <w:ind w:firstLine="420"/>
        <w:rPr>
          <w:color w:val="auto"/>
          <w:highlight w:val="none"/>
        </w:rPr>
      </w:pPr>
    </w:p>
    <w:p w14:paraId="1323EE2D">
      <w:pPr>
        <w:overflowPunct w:val="0"/>
        <w:adjustRightInd w:val="0"/>
        <w:ind w:firstLine="420"/>
        <w:jc w:val="center"/>
        <w:textAlignment w:val="baseline"/>
        <w:rPr>
          <w:rFonts w:ascii="宋体" w:hAnsi="宋体"/>
          <w:color w:val="auto"/>
          <w:sz w:val="24"/>
          <w:highlight w:val="none"/>
        </w:rPr>
      </w:pPr>
      <w:r>
        <w:rPr>
          <w:rFonts w:hint="eastAsia" w:ascii="宋体" w:hAnsi="宋体"/>
          <w:color w:val="auto"/>
          <w:sz w:val="24"/>
          <w:highlight w:val="none"/>
        </w:rPr>
        <w:t xml:space="preserve">                                      </w:t>
      </w:r>
    </w:p>
    <w:p w14:paraId="17985E45">
      <w:pPr>
        <w:pStyle w:val="13"/>
        <w:rPr>
          <w:color w:val="auto"/>
          <w:highlight w:val="none"/>
        </w:rPr>
      </w:pPr>
    </w:p>
    <w:p w14:paraId="1BC0A3A7">
      <w:pPr>
        <w:rPr>
          <w:color w:val="auto"/>
          <w:highlight w:val="none"/>
        </w:rPr>
      </w:pPr>
    </w:p>
    <w:p w14:paraId="2D57CCC3">
      <w:pPr>
        <w:rPr>
          <w:color w:val="auto"/>
          <w:highlight w:val="none"/>
        </w:rPr>
      </w:pPr>
    </w:p>
    <w:p w14:paraId="0BF92D76">
      <w:pPr>
        <w:rPr>
          <w:color w:val="auto"/>
          <w:highlight w:val="none"/>
        </w:rPr>
      </w:pPr>
    </w:p>
    <w:p w14:paraId="6C4ED73C">
      <w:pPr>
        <w:pStyle w:val="24"/>
        <w:spacing w:line="360" w:lineRule="auto"/>
        <w:rPr>
          <w:rFonts w:hint="eastAsia" w:hAnsi="宋体" w:eastAsia="宋体"/>
          <w:b/>
          <w:color w:val="auto"/>
          <w:sz w:val="32"/>
          <w:szCs w:val="32"/>
          <w:highlight w:val="none"/>
          <w:lang w:val="en-US" w:eastAsia="zh-CN"/>
        </w:rPr>
      </w:pPr>
    </w:p>
    <w:p w14:paraId="1E4A1D89">
      <w:pPr>
        <w:pStyle w:val="24"/>
        <w:spacing w:line="360" w:lineRule="auto"/>
        <w:rPr>
          <w:rFonts w:hint="eastAsia" w:hAnsi="宋体" w:eastAsia="宋体"/>
          <w:b/>
          <w:color w:val="auto"/>
          <w:sz w:val="32"/>
          <w:szCs w:val="32"/>
          <w:highlight w:val="none"/>
          <w:lang w:val="en-US" w:eastAsia="zh-CN"/>
        </w:rPr>
      </w:pPr>
    </w:p>
    <w:p w14:paraId="0BAA6D04">
      <w:pPr>
        <w:pStyle w:val="24"/>
        <w:spacing w:line="360" w:lineRule="auto"/>
        <w:rPr>
          <w:rFonts w:hint="eastAsia" w:hAnsi="宋体" w:eastAsia="宋体"/>
          <w:b/>
          <w:color w:val="auto"/>
          <w:sz w:val="32"/>
          <w:szCs w:val="32"/>
          <w:highlight w:val="none"/>
          <w:lang w:val="en-US" w:eastAsia="zh-CN"/>
        </w:rPr>
      </w:pPr>
    </w:p>
    <w:p w14:paraId="53243316">
      <w:pPr>
        <w:pStyle w:val="24"/>
        <w:spacing w:line="360" w:lineRule="auto"/>
        <w:rPr>
          <w:rFonts w:hint="eastAsia" w:hAnsi="宋体" w:eastAsia="宋体"/>
          <w:b/>
          <w:color w:val="auto"/>
          <w:sz w:val="32"/>
          <w:szCs w:val="32"/>
          <w:highlight w:val="none"/>
          <w:lang w:val="en-US" w:eastAsia="zh-CN"/>
        </w:rPr>
      </w:pPr>
    </w:p>
    <w:p w14:paraId="5505422B">
      <w:pPr>
        <w:pStyle w:val="24"/>
        <w:spacing w:line="360" w:lineRule="auto"/>
        <w:rPr>
          <w:rFonts w:hint="eastAsia" w:hAnsi="宋体" w:eastAsia="宋体"/>
          <w:b/>
          <w:color w:val="auto"/>
          <w:sz w:val="32"/>
          <w:szCs w:val="32"/>
          <w:highlight w:val="none"/>
          <w:lang w:val="en-US" w:eastAsia="zh-CN"/>
        </w:rPr>
      </w:pPr>
    </w:p>
    <w:p w14:paraId="4EEA556A">
      <w:pPr>
        <w:pStyle w:val="24"/>
        <w:spacing w:line="360" w:lineRule="auto"/>
        <w:rPr>
          <w:rFonts w:hint="eastAsia" w:hAnsi="宋体" w:eastAsia="宋体"/>
          <w:b/>
          <w:color w:val="auto"/>
          <w:sz w:val="32"/>
          <w:szCs w:val="32"/>
          <w:highlight w:val="none"/>
          <w:lang w:val="en-US" w:eastAsia="zh-CN"/>
        </w:rPr>
      </w:pPr>
    </w:p>
    <w:p w14:paraId="3893180C">
      <w:pPr>
        <w:pStyle w:val="24"/>
        <w:spacing w:line="360" w:lineRule="auto"/>
        <w:rPr>
          <w:rFonts w:hAnsi="宋体" w:eastAsia="宋体"/>
          <w:b/>
          <w:color w:val="auto"/>
          <w:sz w:val="32"/>
          <w:szCs w:val="32"/>
          <w:highlight w:val="none"/>
        </w:rPr>
      </w:pPr>
      <w:r>
        <w:rPr>
          <w:rFonts w:hint="eastAsia" w:hAnsi="宋体" w:eastAsia="宋体"/>
          <w:b/>
          <w:color w:val="auto"/>
          <w:sz w:val="32"/>
          <w:szCs w:val="32"/>
          <w:highlight w:val="none"/>
          <w:lang w:val="en-US" w:eastAsia="zh-CN"/>
        </w:rPr>
        <w:t>9</w:t>
      </w:r>
      <w:r>
        <w:rPr>
          <w:rFonts w:hint="eastAsia" w:hAnsi="宋体" w:eastAsia="宋体"/>
          <w:b/>
          <w:color w:val="auto"/>
          <w:sz w:val="32"/>
          <w:szCs w:val="32"/>
          <w:highlight w:val="none"/>
        </w:rPr>
        <w:t>、服务要求偏离表</w:t>
      </w:r>
    </w:p>
    <w:p w14:paraId="3F444198">
      <w:pPr>
        <w:spacing w:line="360" w:lineRule="auto"/>
        <w:jc w:val="center"/>
        <w:rPr>
          <w:rFonts w:hAnsi="宋体" w:cs="宋体"/>
          <w:b/>
          <w:color w:val="auto"/>
          <w:sz w:val="30"/>
          <w:szCs w:val="30"/>
          <w:highlight w:val="none"/>
        </w:rPr>
      </w:pPr>
      <w:r>
        <w:rPr>
          <w:rFonts w:hint="eastAsia" w:hAnsi="宋体" w:cs="宋体"/>
          <w:b/>
          <w:color w:val="auto"/>
          <w:sz w:val="30"/>
          <w:szCs w:val="30"/>
          <w:highlight w:val="none"/>
        </w:rPr>
        <w:t>服务要求偏离表</w:t>
      </w:r>
    </w:p>
    <w:p w14:paraId="18F0D367">
      <w:pPr>
        <w:rPr>
          <w:rFonts w:ascii="宋体" w:hAnsi="宋体"/>
          <w:color w:val="auto"/>
          <w:sz w:val="24"/>
          <w:highlight w:val="none"/>
        </w:rPr>
      </w:pPr>
      <w:r>
        <w:rPr>
          <w:rFonts w:hint="eastAsia" w:ascii="宋体" w:hAnsi="宋体"/>
          <w:color w:val="auto"/>
          <w:sz w:val="24"/>
          <w:highlight w:val="none"/>
        </w:rPr>
        <w:t>单位名称（盖章）：</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5BF7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615EFBA2">
            <w:pPr>
              <w:spacing w:line="420" w:lineRule="atLeast"/>
              <w:jc w:val="center"/>
              <w:rPr>
                <w:rFonts w:ascii="宋体" w:hAnsi="宋体"/>
                <w:color w:val="auto"/>
                <w:sz w:val="24"/>
                <w:highlight w:val="none"/>
              </w:rPr>
            </w:pPr>
            <w:r>
              <w:rPr>
                <w:rFonts w:hint="eastAsia" w:ascii="宋体" w:hAnsi="宋体"/>
                <w:color w:val="auto"/>
                <w:sz w:val="24"/>
                <w:highlight w:val="none"/>
              </w:rPr>
              <w:t>序号</w:t>
            </w:r>
          </w:p>
        </w:tc>
        <w:tc>
          <w:tcPr>
            <w:tcW w:w="2010" w:type="dxa"/>
            <w:vAlign w:val="center"/>
          </w:tcPr>
          <w:p w14:paraId="6BF40D5F">
            <w:pPr>
              <w:spacing w:line="420" w:lineRule="atLeast"/>
              <w:jc w:val="center"/>
              <w:rPr>
                <w:rFonts w:ascii="宋体" w:hAnsi="宋体"/>
                <w:color w:val="auto"/>
                <w:sz w:val="24"/>
                <w:highlight w:val="none"/>
              </w:rPr>
            </w:pPr>
            <w:r>
              <w:rPr>
                <w:rFonts w:hint="eastAsia" w:ascii="宋体" w:hAnsi="宋体"/>
                <w:color w:val="auto"/>
                <w:sz w:val="24"/>
                <w:highlight w:val="none"/>
              </w:rPr>
              <w:t>内容</w:t>
            </w:r>
          </w:p>
        </w:tc>
        <w:tc>
          <w:tcPr>
            <w:tcW w:w="2526" w:type="dxa"/>
            <w:vAlign w:val="center"/>
          </w:tcPr>
          <w:p w14:paraId="4DDA180D">
            <w:pPr>
              <w:spacing w:line="420" w:lineRule="atLeast"/>
              <w:jc w:val="center"/>
              <w:rPr>
                <w:rFonts w:ascii="宋体" w:hAnsi="宋体"/>
                <w:color w:val="auto"/>
                <w:sz w:val="24"/>
                <w:highlight w:val="none"/>
              </w:rPr>
            </w:pPr>
            <w:r>
              <w:rPr>
                <w:rFonts w:hint="eastAsia" w:ascii="宋体" w:hAnsi="宋体"/>
                <w:color w:val="auto"/>
                <w:sz w:val="24"/>
                <w:highlight w:val="none"/>
              </w:rPr>
              <w:t>招标文件</w:t>
            </w:r>
          </w:p>
          <w:p w14:paraId="372EBF29">
            <w:pPr>
              <w:spacing w:line="420" w:lineRule="atLeast"/>
              <w:jc w:val="center"/>
              <w:rPr>
                <w:rFonts w:ascii="宋体" w:hAnsi="宋体"/>
                <w:color w:val="auto"/>
                <w:sz w:val="24"/>
                <w:highlight w:val="none"/>
              </w:rPr>
            </w:pPr>
            <w:r>
              <w:rPr>
                <w:rFonts w:hint="eastAsia" w:ascii="宋体" w:hAnsi="宋体"/>
                <w:color w:val="auto"/>
                <w:sz w:val="24"/>
                <w:highlight w:val="none"/>
              </w:rPr>
              <w:t>服务要求</w:t>
            </w:r>
          </w:p>
        </w:tc>
        <w:tc>
          <w:tcPr>
            <w:tcW w:w="1843" w:type="dxa"/>
            <w:vAlign w:val="center"/>
          </w:tcPr>
          <w:p w14:paraId="3058BEA5">
            <w:pPr>
              <w:spacing w:line="420" w:lineRule="atLeast"/>
              <w:jc w:val="center"/>
              <w:rPr>
                <w:rFonts w:ascii="宋体" w:hAnsi="宋体"/>
                <w:color w:val="auto"/>
                <w:sz w:val="24"/>
                <w:highlight w:val="none"/>
              </w:rPr>
            </w:pPr>
            <w:r>
              <w:rPr>
                <w:rFonts w:hint="eastAsia" w:ascii="宋体" w:hAnsi="宋体"/>
                <w:color w:val="auto"/>
                <w:sz w:val="24"/>
                <w:highlight w:val="none"/>
              </w:rPr>
              <w:t>投标文件</w:t>
            </w:r>
          </w:p>
          <w:p w14:paraId="774238D6">
            <w:pPr>
              <w:spacing w:line="420" w:lineRule="atLeast"/>
              <w:jc w:val="center"/>
              <w:rPr>
                <w:rFonts w:ascii="宋体" w:hAnsi="宋体"/>
                <w:color w:val="auto"/>
                <w:sz w:val="24"/>
                <w:highlight w:val="none"/>
              </w:rPr>
            </w:pPr>
            <w:r>
              <w:rPr>
                <w:rFonts w:hint="eastAsia" w:ascii="宋体" w:hAnsi="宋体"/>
                <w:color w:val="auto"/>
                <w:sz w:val="24"/>
                <w:highlight w:val="none"/>
              </w:rPr>
              <w:t>响应要求</w:t>
            </w:r>
          </w:p>
        </w:tc>
        <w:tc>
          <w:tcPr>
            <w:tcW w:w="1559" w:type="dxa"/>
            <w:vAlign w:val="center"/>
          </w:tcPr>
          <w:p w14:paraId="553F4813">
            <w:pPr>
              <w:spacing w:line="420" w:lineRule="atLeast"/>
              <w:jc w:val="center"/>
              <w:rPr>
                <w:rFonts w:ascii="宋体" w:hAnsi="宋体"/>
                <w:color w:val="auto"/>
                <w:sz w:val="24"/>
                <w:highlight w:val="none"/>
              </w:rPr>
            </w:pPr>
            <w:r>
              <w:rPr>
                <w:rFonts w:hint="eastAsia" w:ascii="宋体" w:hAnsi="宋体"/>
                <w:color w:val="auto"/>
                <w:sz w:val="24"/>
                <w:highlight w:val="none"/>
              </w:rPr>
              <w:t xml:space="preserve"> 偏离情况</w:t>
            </w:r>
          </w:p>
        </w:tc>
      </w:tr>
      <w:tr w14:paraId="66DD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8920CCA">
            <w:pPr>
              <w:spacing w:line="400" w:lineRule="atLeast"/>
              <w:jc w:val="center"/>
              <w:rPr>
                <w:rFonts w:ascii="宋体" w:hAnsi="宋体"/>
                <w:color w:val="auto"/>
                <w:sz w:val="24"/>
                <w:highlight w:val="none"/>
              </w:rPr>
            </w:pPr>
            <w:r>
              <w:rPr>
                <w:rFonts w:hint="eastAsia" w:ascii="宋体" w:hAnsi="宋体"/>
                <w:color w:val="auto"/>
                <w:sz w:val="24"/>
                <w:highlight w:val="none"/>
              </w:rPr>
              <w:t>1</w:t>
            </w:r>
          </w:p>
        </w:tc>
        <w:tc>
          <w:tcPr>
            <w:tcW w:w="2010" w:type="dxa"/>
            <w:vAlign w:val="center"/>
          </w:tcPr>
          <w:p w14:paraId="6DB0FA86">
            <w:pPr>
              <w:spacing w:line="400" w:lineRule="atLeast"/>
              <w:jc w:val="center"/>
              <w:rPr>
                <w:rFonts w:ascii="宋体" w:hAnsi="宋体"/>
                <w:color w:val="auto"/>
                <w:sz w:val="24"/>
                <w:highlight w:val="none"/>
              </w:rPr>
            </w:pPr>
          </w:p>
        </w:tc>
        <w:tc>
          <w:tcPr>
            <w:tcW w:w="2526" w:type="dxa"/>
            <w:vAlign w:val="center"/>
          </w:tcPr>
          <w:p w14:paraId="679E5144">
            <w:pPr>
              <w:spacing w:line="400" w:lineRule="atLeast"/>
              <w:jc w:val="center"/>
              <w:rPr>
                <w:rFonts w:ascii="宋体" w:hAnsi="宋体"/>
                <w:color w:val="auto"/>
                <w:sz w:val="24"/>
                <w:highlight w:val="none"/>
              </w:rPr>
            </w:pPr>
          </w:p>
        </w:tc>
        <w:tc>
          <w:tcPr>
            <w:tcW w:w="1843" w:type="dxa"/>
            <w:vAlign w:val="center"/>
          </w:tcPr>
          <w:p w14:paraId="77494521">
            <w:pPr>
              <w:spacing w:line="400" w:lineRule="atLeast"/>
              <w:jc w:val="center"/>
              <w:rPr>
                <w:rFonts w:ascii="宋体" w:hAnsi="宋体"/>
                <w:color w:val="auto"/>
                <w:sz w:val="24"/>
                <w:highlight w:val="none"/>
              </w:rPr>
            </w:pPr>
          </w:p>
        </w:tc>
        <w:tc>
          <w:tcPr>
            <w:tcW w:w="1559" w:type="dxa"/>
            <w:vAlign w:val="center"/>
          </w:tcPr>
          <w:p w14:paraId="75116933">
            <w:pPr>
              <w:spacing w:line="400" w:lineRule="atLeast"/>
              <w:jc w:val="center"/>
              <w:rPr>
                <w:rFonts w:ascii="宋体" w:hAnsi="宋体"/>
                <w:color w:val="auto"/>
                <w:sz w:val="24"/>
                <w:highlight w:val="none"/>
              </w:rPr>
            </w:pPr>
          </w:p>
        </w:tc>
      </w:tr>
      <w:tr w14:paraId="347B7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05DA9AF">
            <w:pPr>
              <w:spacing w:line="400" w:lineRule="atLeast"/>
              <w:jc w:val="center"/>
              <w:rPr>
                <w:rFonts w:ascii="宋体" w:hAnsi="宋体"/>
                <w:color w:val="auto"/>
                <w:sz w:val="24"/>
                <w:highlight w:val="none"/>
              </w:rPr>
            </w:pPr>
            <w:r>
              <w:rPr>
                <w:rFonts w:hint="eastAsia" w:ascii="宋体" w:hAnsi="宋体"/>
                <w:color w:val="auto"/>
                <w:sz w:val="24"/>
                <w:highlight w:val="none"/>
              </w:rPr>
              <w:t>2</w:t>
            </w:r>
          </w:p>
        </w:tc>
        <w:tc>
          <w:tcPr>
            <w:tcW w:w="2010" w:type="dxa"/>
            <w:vAlign w:val="center"/>
          </w:tcPr>
          <w:p w14:paraId="3ADF5DD9">
            <w:pPr>
              <w:spacing w:line="400" w:lineRule="atLeast"/>
              <w:jc w:val="center"/>
              <w:rPr>
                <w:rFonts w:ascii="宋体" w:hAnsi="宋体"/>
                <w:color w:val="auto"/>
                <w:sz w:val="24"/>
                <w:highlight w:val="none"/>
              </w:rPr>
            </w:pPr>
          </w:p>
        </w:tc>
        <w:tc>
          <w:tcPr>
            <w:tcW w:w="2526" w:type="dxa"/>
            <w:vAlign w:val="center"/>
          </w:tcPr>
          <w:p w14:paraId="68617F3A">
            <w:pPr>
              <w:spacing w:line="400" w:lineRule="atLeast"/>
              <w:jc w:val="center"/>
              <w:rPr>
                <w:rFonts w:ascii="宋体" w:hAnsi="宋体"/>
                <w:color w:val="auto"/>
                <w:sz w:val="24"/>
                <w:highlight w:val="none"/>
              </w:rPr>
            </w:pPr>
          </w:p>
        </w:tc>
        <w:tc>
          <w:tcPr>
            <w:tcW w:w="1843" w:type="dxa"/>
            <w:vAlign w:val="center"/>
          </w:tcPr>
          <w:p w14:paraId="40235B18">
            <w:pPr>
              <w:spacing w:line="400" w:lineRule="atLeast"/>
              <w:jc w:val="center"/>
              <w:rPr>
                <w:rFonts w:ascii="宋体" w:hAnsi="宋体"/>
                <w:color w:val="auto"/>
                <w:sz w:val="24"/>
                <w:highlight w:val="none"/>
              </w:rPr>
            </w:pPr>
          </w:p>
        </w:tc>
        <w:tc>
          <w:tcPr>
            <w:tcW w:w="1559" w:type="dxa"/>
            <w:vAlign w:val="center"/>
          </w:tcPr>
          <w:p w14:paraId="2D6E861C">
            <w:pPr>
              <w:spacing w:line="400" w:lineRule="atLeast"/>
              <w:jc w:val="center"/>
              <w:rPr>
                <w:rFonts w:ascii="宋体" w:hAnsi="宋体"/>
                <w:color w:val="auto"/>
                <w:sz w:val="24"/>
                <w:highlight w:val="none"/>
              </w:rPr>
            </w:pPr>
          </w:p>
        </w:tc>
      </w:tr>
      <w:tr w14:paraId="54B5C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4CD927E">
            <w:pPr>
              <w:spacing w:line="400" w:lineRule="atLeast"/>
              <w:jc w:val="center"/>
              <w:rPr>
                <w:rFonts w:ascii="宋体" w:hAnsi="宋体"/>
                <w:color w:val="auto"/>
                <w:sz w:val="24"/>
                <w:highlight w:val="none"/>
              </w:rPr>
            </w:pPr>
            <w:r>
              <w:rPr>
                <w:rFonts w:hint="eastAsia" w:ascii="宋体" w:hAnsi="宋体"/>
                <w:color w:val="auto"/>
                <w:sz w:val="24"/>
                <w:highlight w:val="none"/>
              </w:rPr>
              <w:t>3</w:t>
            </w:r>
          </w:p>
        </w:tc>
        <w:tc>
          <w:tcPr>
            <w:tcW w:w="2010" w:type="dxa"/>
            <w:vAlign w:val="center"/>
          </w:tcPr>
          <w:p w14:paraId="302878FA">
            <w:pPr>
              <w:spacing w:line="400" w:lineRule="atLeast"/>
              <w:jc w:val="center"/>
              <w:rPr>
                <w:rFonts w:ascii="宋体" w:hAnsi="宋体"/>
                <w:color w:val="auto"/>
                <w:sz w:val="24"/>
                <w:highlight w:val="none"/>
              </w:rPr>
            </w:pPr>
          </w:p>
        </w:tc>
        <w:tc>
          <w:tcPr>
            <w:tcW w:w="2526" w:type="dxa"/>
            <w:vAlign w:val="center"/>
          </w:tcPr>
          <w:p w14:paraId="0A1A0E4F">
            <w:pPr>
              <w:spacing w:line="400" w:lineRule="atLeast"/>
              <w:jc w:val="center"/>
              <w:rPr>
                <w:rFonts w:ascii="宋体" w:hAnsi="宋体"/>
                <w:color w:val="auto"/>
                <w:sz w:val="24"/>
                <w:highlight w:val="none"/>
              </w:rPr>
            </w:pPr>
          </w:p>
        </w:tc>
        <w:tc>
          <w:tcPr>
            <w:tcW w:w="1843" w:type="dxa"/>
            <w:vAlign w:val="center"/>
          </w:tcPr>
          <w:p w14:paraId="4722F449">
            <w:pPr>
              <w:spacing w:line="400" w:lineRule="atLeast"/>
              <w:jc w:val="center"/>
              <w:rPr>
                <w:rFonts w:ascii="宋体" w:hAnsi="宋体"/>
                <w:color w:val="auto"/>
                <w:sz w:val="24"/>
                <w:highlight w:val="none"/>
              </w:rPr>
            </w:pPr>
          </w:p>
        </w:tc>
        <w:tc>
          <w:tcPr>
            <w:tcW w:w="1559" w:type="dxa"/>
            <w:vAlign w:val="center"/>
          </w:tcPr>
          <w:p w14:paraId="6AB8FE01">
            <w:pPr>
              <w:spacing w:line="400" w:lineRule="atLeast"/>
              <w:jc w:val="center"/>
              <w:rPr>
                <w:rFonts w:ascii="宋体" w:hAnsi="宋体"/>
                <w:color w:val="auto"/>
                <w:sz w:val="24"/>
                <w:highlight w:val="none"/>
              </w:rPr>
            </w:pPr>
          </w:p>
        </w:tc>
      </w:tr>
      <w:tr w14:paraId="73038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40B3429">
            <w:pPr>
              <w:spacing w:line="400" w:lineRule="atLeast"/>
              <w:jc w:val="center"/>
              <w:rPr>
                <w:rFonts w:ascii="宋体" w:hAnsi="宋体"/>
                <w:color w:val="auto"/>
                <w:sz w:val="24"/>
                <w:highlight w:val="none"/>
              </w:rPr>
            </w:pPr>
            <w:r>
              <w:rPr>
                <w:rFonts w:hint="eastAsia" w:ascii="宋体" w:hAnsi="宋体"/>
                <w:color w:val="auto"/>
                <w:sz w:val="24"/>
                <w:highlight w:val="none"/>
              </w:rPr>
              <w:t>4</w:t>
            </w:r>
          </w:p>
        </w:tc>
        <w:tc>
          <w:tcPr>
            <w:tcW w:w="2010" w:type="dxa"/>
            <w:vAlign w:val="center"/>
          </w:tcPr>
          <w:p w14:paraId="3EC68CFE">
            <w:pPr>
              <w:spacing w:line="400" w:lineRule="atLeast"/>
              <w:jc w:val="center"/>
              <w:rPr>
                <w:rFonts w:ascii="宋体" w:hAnsi="宋体"/>
                <w:color w:val="auto"/>
                <w:sz w:val="24"/>
                <w:highlight w:val="none"/>
              </w:rPr>
            </w:pPr>
          </w:p>
        </w:tc>
        <w:tc>
          <w:tcPr>
            <w:tcW w:w="2526" w:type="dxa"/>
            <w:vAlign w:val="center"/>
          </w:tcPr>
          <w:p w14:paraId="586E327A">
            <w:pPr>
              <w:spacing w:line="400" w:lineRule="atLeast"/>
              <w:jc w:val="center"/>
              <w:rPr>
                <w:rFonts w:ascii="宋体" w:hAnsi="宋体"/>
                <w:color w:val="auto"/>
                <w:sz w:val="24"/>
                <w:highlight w:val="none"/>
              </w:rPr>
            </w:pPr>
          </w:p>
        </w:tc>
        <w:tc>
          <w:tcPr>
            <w:tcW w:w="1843" w:type="dxa"/>
            <w:vAlign w:val="center"/>
          </w:tcPr>
          <w:p w14:paraId="3035257C">
            <w:pPr>
              <w:spacing w:line="400" w:lineRule="atLeast"/>
              <w:jc w:val="center"/>
              <w:rPr>
                <w:rFonts w:ascii="宋体" w:hAnsi="宋体"/>
                <w:color w:val="auto"/>
                <w:sz w:val="24"/>
                <w:highlight w:val="none"/>
              </w:rPr>
            </w:pPr>
          </w:p>
        </w:tc>
        <w:tc>
          <w:tcPr>
            <w:tcW w:w="1559" w:type="dxa"/>
            <w:vAlign w:val="center"/>
          </w:tcPr>
          <w:p w14:paraId="770F9934">
            <w:pPr>
              <w:spacing w:line="400" w:lineRule="atLeast"/>
              <w:jc w:val="center"/>
              <w:rPr>
                <w:rFonts w:ascii="宋体" w:hAnsi="宋体"/>
                <w:color w:val="auto"/>
                <w:sz w:val="24"/>
                <w:highlight w:val="none"/>
              </w:rPr>
            </w:pPr>
          </w:p>
        </w:tc>
      </w:tr>
      <w:tr w14:paraId="7545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7AD5F0F">
            <w:pPr>
              <w:spacing w:line="400" w:lineRule="atLeast"/>
              <w:jc w:val="center"/>
              <w:rPr>
                <w:rFonts w:ascii="宋体" w:hAnsi="宋体"/>
                <w:color w:val="auto"/>
                <w:sz w:val="24"/>
                <w:highlight w:val="none"/>
              </w:rPr>
            </w:pPr>
            <w:r>
              <w:rPr>
                <w:rFonts w:hint="eastAsia" w:ascii="宋体" w:hAnsi="宋体"/>
                <w:color w:val="auto"/>
                <w:sz w:val="24"/>
                <w:highlight w:val="none"/>
              </w:rPr>
              <w:t>5</w:t>
            </w:r>
          </w:p>
        </w:tc>
        <w:tc>
          <w:tcPr>
            <w:tcW w:w="2010" w:type="dxa"/>
            <w:vAlign w:val="center"/>
          </w:tcPr>
          <w:p w14:paraId="16BD2FBE">
            <w:pPr>
              <w:spacing w:line="400" w:lineRule="atLeast"/>
              <w:jc w:val="center"/>
              <w:rPr>
                <w:rFonts w:ascii="宋体" w:hAnsi="宋体"/>
                <w:color w:val="auto"/>
                <w:sz w:val="24"/>
                <w:highlight w:val="none"/>
              </w:rPr>
            </w:pPr>
          </w:p>
        </w:tc>
        <w:tc>
          <w:tcPr>
            <w:tcW w:w="2526" w:type="dxa"/>
            <w:vAlign w:val="center"/>
          </w:tcPr>
          <w:p w14:paraId="13EDEC51">
            <w:pPr>
              <w:spacing w:line="400" w:lineRule="atLeast"/>
              <w:jc w:val="center"/>
              <w:rPr>
                <w:rFonts w:ascii="宋体" w:hAnsi="宋体"/>
                <w:color w:val="auto"/>
                <w:sz w:val="24"/>
                <w:highlight w:val="none"/>
              </w:rPr>
            </w:pPr>
          </w:p>
        </w:tc>
        <w:tc>
          <w:tcPr>
            <w:tcW w:w="1843" w:type="dxa"/>
            <w:vAlign w:val="center"/>
          </w:tcPr>
          <w:p w14:paraId="62A95FC3">
            <w:pPr>
              <w:spacing w:line="400" w:lineRule="atLeast"/>
              <w:jc w:val="center"/>
              <w:rPr>
                <w:rFonts w:ascii="宋体" w:hAnsi="宋体"/>
                <w:color w:val="auto"/>
                <w:sz w:val="24"/>
                <w:highlight w:val="none"/>
              </w:rPr>
            </w:pPr>
          </w:p>
        </w:tc>
        <w:tc>
          <w:tcPr>
            <w:tcW w:w="1559" w:type="dxa"/>
            <w:vAlign w:val="center"/>
          </w:tcPr>
          <w:p w14:paraId="48B49E26">
            <w:pPr>
              <w:spacing w:line="400" w:lineRule="atLeast"/>
              <w:jc w:val="center"/>
              <w:rPr>
                <w:rFonts w:ascii="宋体" w:hAnsi="宋体"/>
                <w:color w:val="auto"/>
                <w:sz w:val="24"/>
                <w:highlight w:val="none"/>
              </w:rPr>
            </w:pPr>
          </w:p>
        </w:tc>
      </w:tr>
      <w:tr w14:paraId="7ADC4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7728BD7">
            <w:pPr>
              <w:spacing w:line="400" w:lineRule="atLeast"/>
              <w:jc w:val="center"/>
              <w:rPr>
                <w:rFonts w:ascii="宋体" w:hAnsi="宋体"/>
                <w:color w:val="auto"/>
                <w:sz w:val="24"/>
                <w:highlight w:val="none"/>
              </w:rPr>
            </w:pPr>
            <w:r>
              <w:rPr>
                <w:rFonts w:hint="eastAsia" w:ascii="宋体" w:hAnsi="宋体"/>
                <w:color w:val="auto"/>
                <w:sz w:val="24"/>
                <w:highlight w:val="none"/>
              </w:rPr>
              <w:t>6</w:t>
            </w:r>
          </w:p>
        </w:tc>
        <w:tc>
          <w:tcPr>
            <w:tcW w:w="2010" w:type="dxa"/>
            <w:vAlign w:val="center"/>
          </w:tcPr>
          <w:p w14:paraId="5FEB0B8A">
            <w:pPr>
              <w:spacing w:line="400" w:lineRule="atLeast"/>
              <w:jc w:val="center"/>
              <w:rPr>
                <w:rFonts w:ascii="宋体" w:hAnsi="宋体"/>
                <w:color w:val="auto"/>
                <w:sz w:val="24"/>
                <w:highlight w:val="none"/>
              </w:rPr>
            </w:pPr>
          </w:p>
        </w:tc>
        <w:tc>
          <w:tcPr>
            <w:tcW w:w="2526" w:type="dxa"/>
            <w:vAlign w:val="center"/>
          </w:tcPr>
          <w:p w14:paraId="42E4C9A6">
            <w:pPr>
              <w:spacing w:line="400" w:lineRule="atLeast"/>
              <w:jc w:val="center"/>
              <w:rPr>
                <w:rFonts w:ascii="宋体" w:hAnsi="宋体"/>
                <w:color w:val="auto"/>
                <w:sz w:val="24"/>
                <w:highlight w:val="none"/>
              </w:rPr>
            </w:pPr>
          </w:p>
        </w:tc>
        <w:tc>
          <w:tcPr>
            <w:tcW w:w="1843" w:type="dxa"/>
            <w:vAlign w:val="center"/>
          </w:tcPr>
          <w:p w14:paraId="0E10A155">
            <w:pPr>
              <w:spacing w:line="400" w:lineRule="atLeast"/>
              <w:jc w:val="center"/>
              <w:rPr>
                <w:rFonts w:ascii="宋体" w:hAnsi="宋体"/>
                <w:color w:val="auto"/>
                <w:sz w:val="24"/>
                <w:highlight w:val="none"/>
              </w:rPr>
            </w:pPr>
          </w:p>
        </w:tc>
        <w:tc>
          <w:tcPr>
            <w:tcW w:w="1559" w:type="dxa"/>
            <w:vAlign w:val="center"/>
          </w:tcPr>
          <w:p w14:paraId="56DD632E">
            <w:pPr>
              <w:spacing w:line="400" w:lineRule="atLeast"/>
              <w:jc w:val="center"/>
              <w:rPr>
                <w:rFonts w:ascii="宋体" w:hAnsi="宋体"/>
                <w:color w:val="auto"/>
                <w:sz w:val="24"/>
                <w:highlight w:val="none"/>
              </w:rPr>
            </w:pPr>
          </w:p>
        </w:tc>
      </w:tr>
      <w:tr w14:paraId="785F4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D16C086">
            <w:pPr>
              <w:spacing w:line="400" w:lineRule="atLeast"/>
              <w:jc w:val="center"/>
              <w:rPr>
                <w:rFonts w:ascii="宋体" w:hAnsi="宋体"/>
                <w:color w:val="auto"/>
                <w:sz w:val="24"/>
                <w:highlight w:val="none"/>
              </w:rPr>
            </w:pPr>
            <w:r>
              <w:rPr>
                <w:rFonts w:hint="eastAsia" w:ascii="宋体" w:hAnsi="宋体"/>
                <w:color w:val="auto"/>
                <w:sz w:val="24"/>
                <w:highlight w:val="none"/>
              </w:rPr>
              <w:t>7</w:t>
            </w:r>
          </w:p>
        </w:tc>
        <w:tc>
          <w:tcPr>
            <w:tcW w:w="2010" w:type="dxa"/>
            <w:vAlign w:val="center"/>
          </w:tcPr>
          <w:p w14:paraId="43A829CC">
            <w:pPr>
              <w:spacing w:line="400" w:lineRule="atLeast"/>
              <w:jc w:val="center"/>
              <w:rPr>
                <w:rFonts w:ascii="宋体" w:hAnsi="宋体"/>
                <w:color w:val="auto"/>
                <w:sz w:val="24"/>
                <w:highlight w:val="none"/>
              </w:rPr>
            </w:pPr>
          </w:p>
        </w:tc>
        <w:tc>
          <w:tcPr>
            <w:tcW w:w="2526" w:type="dxa"/>
            <w:vAlign w:val="center"/>
          </w:tcPr>
          <w:p w14:paraId="5702D133">
            <w:pPr>
              <w:spacing w:line="400" w:lineRule="atLeast"/>
              <w:jc w:val="center"/>
              <w:rPr>
                <w:rFonts w:ascii="宋体" w:hAnsi="宋体"/>
                <w:color w:val="auto"/>
                <w:sz w:val="24"/>
                <w:highlight w:val="none"/>
              </w:rPr>
            </w:pPr>
          </w:p>
        </w:tc>
        <w:tc>
          <w:tcPr>
            <w:tcW w:w="1843" w:type="dxa"/>
            <w:vAlign w:val="center"/>
          </w:tcPr>
          <w:p w14:paraId="0B5AE005">
            <w:pPr>
              <w:spacing w:line="400" w:lineRule="atLeast"/>
              <w:jc w:val="center"/>
              <w:rPr>
                <w:rFonts w:ascii="宋体" w:hAnsi="宋体"/>
                <w:color w:val="auto"/>
                <w:sz w:val="24"/>
                <w:highlight w:val="none"/>
              </w:rPr>
            </w:pPr>
          </w:p>
        </w:tc>
        <w:tc>
          <w:tcPr>
            <w:tcW w:w="1559" w:type="dxa"/>
            <w:vAlign w:val="center"/>
          </w:tcPr>
          <w:p w14:paraId="54227DB2">
            <w:pPr>
              <w:spacing w:line="400" w:lineRule="atLeast"/>
              <w:jc w:val="center"/>
              <w:rPr>
                <w:rFonts w:ascii="宋体" w:hAnsi="宋体"/>
                <w:color w:val="auto"/>
                <w:sz w:val="24"/>
                <w:highlight w:val="none"/>
              </w:rPr>
            </w:pPr>
          </w:p>
        </w:tc>
      </w:tr>
      <w:tr w14:paraId="65FB0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ECACDAF">
            <w:pPr>
              <w:spacing w:line="400" w:lineRule="atLeast"/>
              <w:jc w:val="center"/>
              <w:rPr>
                <w:rFonts w:ascii="宋体" w:hAnsi="宋体"/>
                <w:color w:val="auto"/>
                <w:sz w:val="24"/>
                <w:highlight w:val="none"/>
              </w:rPr>
            </w:pPr>
            <w:r>
              <w:rPr>
                <w:rFonts w:hint="eastAsia" w:ascii="宋体" w:hAnsi="宋体"/>
                <w:color w:val="auto"/>
                <w:sz w:val="24"/>
                <w:highlight w:val="none"/>
              </w:rPr>
              <w:t>8</w:t>
            </w:r>
          </w:p>
        </w:tc>
        <w:tc>
          <w:tcPr>
            <w:tcW w:w="2010" w:type="dxa"/>
            <w:vAlign w:val="center"/>
          </w:tcPr>
          <w:p w14:paraId="7D726EC2">
            <w:pPr>
              <w:spacing w:line="400" w:lineRule="atLeast"/>
              <w:jc w:val="center"/>
              <w:rPr>
                <w:rFonts w:ascii="宋体" w:hAnsi="宋体"/>
                <w:color w:val="auto"/>
                <w:sz w:val="24"/>
                <w:highlight w:val="none"/>
              </w:rPr>
            </w:pPr>
          </w:p>
        </w:tc>
        <w:tc>
          <w:tcPr>
            <w:tcW w:w="2526" w:type="dxa"/>
            <w:vAlign w:val="center"/>
          </w:tcPr>
          <w:p w14:paraId="390A914C">
            <w:pPr>
              <w:spacing w:line="400" w:lineRule="atLeast"/>
              <w:jc w:val="center"/>
              <w:rPr>
                <w:rFonts w:ascii="宋体" w:hAnsi="宋体"/>
                <w:color w:val="auto"/>
                <w:sz w:val="24"/>
                <w:highlight w:val="none"/>
              </w:rPr>
            </w:pPr>
          </w:p>
        </w:tc>
        <w:tc>
          <w:tcPr>
            <w:tcW w:w="1843" w:type="dxa"/>
            <w:vAlign w:val="center"/>
          </w:tcPr>
          <w:p w14:paraId="3AE21E91">
            <w:pPr>
              <w:spacing w:line="400" w:lineRule="atLeast"/>
              <w:jc w:val="center"/>
              <w:rPr>
                <w:rFonts w:ascii="宋体" w:hAnsi="宋体"/>
                <w:color w:val="auto"/>
                <w:sz w:val="24"/>
                <w:highlight w:val="none"/>
              </w:rPr>
            </w:pPr>
          </w:p>
        </w:tc>
        <w:tc>
          <w:tcPr>
            <w:tcW w:w="1559" w:type="dxa"/>
            <w:vAlign w:val="center"/>
          </w:tcPr>
          <w:p w14:paraId="09B31A2B">
            <w:pPr>
              <w:spacing w:line="400" w:lineRule="atLeast"/>
              <w:jc w:val="center"/>
              <w:rPr>
                <w:rFonts w:ascii="宋体" w:hAnsi="宋体"/>
                <w:color w:val="auto"/>
                <w:sz w:val="24"/>
                <w:highlight w:val="none"/>
              </w:rPr>
            </w:pPr>
          </w:p>
        </w:tc>
      </w:tr>
      <w:tr w14:paraId="3555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DDFB719">
            <w:pPr>
              <w:spacing w:line="400" w:lineRule="atLeast"/>
              <w:jc w:val="center"/>
              <w:rPr>
                <w:rFonts w:ascii="宋体" w:hAnsi="宋体"/>
                <w:color w:val="auto"/>
                <w:sz w:val="24"/>
                <w:highlight w:val="none"/>
              </w:rPr>
            </w:pPr>
            <w:r>
              <w:rPr>
                <w:rFonts w:hint="eastAsia" w:ascii="宋体" w:hAnsi="宋体"/>
                <w:color w:val="auto"/>
                <w:sz w:val="24"/>
                <w:highlight w:val="none"/>
              </w:rPr>
              <w:t>...</w:t>
            </w:r>
          </w:p>
        </w:tc>
        <w:tc>
          <w:tcPr>
            <w:tcW w:w="2010" w:type="dxa"/>
            <w:vAlign w:val="center"/>
          </w:tcPr>
          <w:p w14:paraId="2E9C9ECC">
            <w:pPr>
              <w:spacing w:line="400" w:lineRule="atLeast"/>
              <w:jc w:val="center"/>
              <w:rPr>
                <w:rFonts w:ascii="宋体" w:hAnsi="宋体"/>
                <w:color w:val="auto"/>
                <w:sz w:val="24"/>
                <w:highlight w:val="none"/>
              </w:rPr>
            </w:pPr>
          </w:p>
        </w:tc>
        <w:tc>
          <w:tcPr>
            <w:tcW w:w="2526" w:type="dxa"/>
            <w:vAlign w:val="center"/>
          </w:tcPr>
          <w:p w14:paraId="668D00DF">
            <w:pPr>
              <w:spacing w:line="400" w:lineRule="atLeast"/>
              <w:jc w:val="center"/>
              <w:rPr>
                <w:rFonts w:ascii="宋体" w:hAnsi="宋体"/>
                <w:color w:val="auto"/>
                <w:sz w:val="24"/>
                <w:highlight w:val="none"/>
              </w:rPr>
            </w:pPr>
          </w:p>
        </w:tc>
        <w:tc>
          <w:tcPr>
            <w:tcW w:w="1843" w:type="dxa"/>
            <w:vAlign w:val="center"/>
          </w:tcPr>
          <w:p w14:paraId="056E7EB8">
            <w:pPr>
              <w:spacing w:line="400" w:lineRule="atLeast"/>
              <w:jc w:val="center"/>
              <w:rPr>
                <w:rFonts w:ascii="宋体" w:hAnsi="宋体"/>
                <w:color w:val="auto"/>
                <w:sz w:val="24"/>
                <w:highlight w:val="none"/>
              </w:rPr>
            </w:pPr>
          </w:p>
        </w:tc>
        <w:tc>
          <w:tcPr>
            <w:tcW w:w="1559" w:type="dxa"/>
            <w:vAlign w:val="center"/>
          </w:tcPr>
          <w:p w14:paraId="2ABED800">
            <w:pPr>
              <w:spacing w:line="400" w:lineRule="atLeast"/>
              <w:jc w:val="center"/>
              <w:rPr>
                <w:rFonts w:ascii="宋体" w:hAnsi="宋体"/>
                <w:color w:val="auto"/>
                <w:sz w:val="24"/>
                <w:highlight w:val="none"/>
              </w:rPr>
            </w:pPr>
          </w:p>
        </w:tc>
      </w:tr>
      <w:tr w14:paraId="49C2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25D87A2">
            <w:pPr>
              <w:spacing w:line="400" w:lineRule="atLeast"/>
              <w:jc w:val="center"/>
              <w:rPr>
                <w:rFonts w:ascii="宋体" w:hAnsi="宋体"/>
                <w:color w:val="auto"/>
                <w:sz w:val="24"/>
                <w:highlight w:val="none"/>
              </w:rPr>
            </w:pPr>
          </w:p>
        </w:tc>
        <w:tc>
          <w:tcPr>
            <w:tcW w:w="2010" w:type="dxa"/>
            <w:vAlign w:val="center"/>
          </w:tcPr>
          <w:p w14:paraId="41EA2225">
            <w:pPr>
              <w:spacing w:line="400" w:lineRule="atLeast"/>
              <w:jc w:val="center"/>
              <w:rPr>
                <w:rFonts w:ascii="宋体" w:hAnsi="宋体"/>
                <w:color w:val="auto"/>
                <w:sz w:val="24"/>
                <w:highlight w:val="none"/>
              </w:rPr>
            </w:pPr>
          </w:p>
        </w:tc>
        <w:tc>
          <w:tcPr>
            <w:tcW w:w="2526" w:type="dxa"/>
            <w:vAlign w:val="center"/>
          </w:tcPr>
          <w:p w14:paraId="606C2CD1">
            <w:pPr>
              <w:spacing w:line="400" w:lineRule="atLeast"/>
              <w:jc w:val="center"/>
              <w:rPr>
                <w:rFonts w:ascii="宋体" w:hAnsi="宋体"/>
                <w:color w:val="auto"/>
                <w:sz w:val="24"/>
                <w:highlight w:val="none"/>
              </w:rPr>
            </w:pPr>
          </w:p>
        </w:tc>
        <w:tc>
          <w:tcPr>
            <w:tcW w:w="1843" w:type="dxa"/>
            <w:vAlign w:val="center"/>
          </w:tcPr>
          <w:p w14:paraId="08B126E7">
            <w:pPr>
              <w:spacing w:line="400" w:lineRule="atLeast"/>
              <w:jc w:val="center"/>
              <w:rPr>
                <w:rFonts w:ascii="宋体" w:hAnsi="宋体"/>
                <w:color w:val="auto"/>
                <w:sz w:val="24"/>
                <w:highlight w:val="none"/>
              </w:rPr>
            </w:pPr>
          </w:p>
        </w:tc>
        <w:tc>
          <w:tcPr>
            <w:tcW w:w="1559" w:type="dxa"/>
            <w:vAlign w:val="center"/>
          </w:tcPr>
          <w:p w14:paraId="72438F42">
            <w:pPr>
              <w:spacing w:line="400" w:lineRule="atLeast"/>
              <w:jc w:val="center"/>
              <w:rPr>
                <w:rFonts w:ascii="宋体" w:hAnsi="宋体"/>
                <w:color w:val="auto"/>
                <w:sz w:val="24"/>
                <w:highlight w:val="none"/>
              </w:rPr>
            </w:pPr>
          </w:p>
        </w:tc>
      </w:tr>
      <w:tr w14:paraId="13E4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8E9F7A7">
            <w:pPr>
              <w:spacing w:line="400" w:lineRule="atLeast"/>
              <w:jc w:val="center"/>
              <w:rPr>
                <w:rFonts w:ascii="宋体" w:hAnsi="宋体"/>
                <w:color w:val="auto"/>
                <w:sz w:val="24"/>
                <w:highlight w:val="none"/>
              </w:rPr>
            </w:pPr>
          </w:p>
        </w:tc>
        <w:tc>
          <w:tcPr>
            <w:tcW w:w="2010" w:type="dxa"/>
            <w:vAlign w:val="center"/>
          </w:tcPr>
          <w:p w14:paraId="1AB06E77">
            <w:pPr>
              <w:spacing w:line="400" w:lineRule="atLeast"/>
              <w:jc w:val="center"/>
              <w:rPr>
                <w:rFonts w:ascii="宋体" w:hAnsi="宋体"/>
                <w:color w:val="auto"/>
                <w:sz w:val="24"/>
                <w:highlight w:val="none"/>
              </w:rPr>
            </w:pPr>
          </w:p>
        </w:tc>
        <w:tc>
          <w:tcPr>
            <w:tcW w:w="2526" w:type="dxa"/>
            <w:vAlign w:val="center"/>
          </w:tcPr>
          <w:p w14:paraId="1DAF38D1">
            <w:pPr>
              <w:spacing w:line="400" w:lineRule="atLeast"/>
              <w:jc w:val="center"/>
              <w:rPr>
                <w:rFonts w:ascii="宋体" w:hAnsi="宋体"/>
                <w:color w:val="auto"/>
                <w:sz w:val="24"/>
                <w:highlight w:val="none"/>
              </w:rPr>
            </w:pPr>
          </w:p>
        </w:tc>
        <w:tc>
          <w:tcPr>
            <w:tcW w:w="1843" w:type="dxa"/>
            <w:vAlign w:val="center"/>
          </w:tcPr>
          <w:p w14:paraId="0BAFAA92">
            <w:pPr>
              <w:spacing w:line="400" w:lineRule="atLeast"/>
              <w:jc w:val="center"/>
              <w:rPr>
                <w:rFonts w:ascii="宋体" w:hAnsi="宋体"/>
                <w:color w:val="auto"/>
                <w:sz w:val="24"/>
                <w:highlight w:val="none"/>
              </w:rPr>
            </w:pPr>
          </w:p>
        </w:tc>
        <w:tc>
          <w:tcPr>
            <w:tcW w:w="1559" w:type="dxa"/>
            <w:vAlign w:val="center"/>
          </w:tcPr>
          <w:p w14:paraId="2921F1BA">
            <w:pPr>
              <w:spacing w:line="400" w:lineRule="atLeast"/>
              <w:jc w:val="center"/>
              <w:rPr>
                <w:rFonts w:ascii="宋体" w:hAnsi="宋体"/>
                <w:color w:val="auto"/>
                <w:sz w:val="24"/>
                <w:highlight w:val="none"/>
              </w:rPr>
            </w:pPr>
          </w:p>
        </w:tc>
      </w:tr>
    </w:tbl>
    <w:p w14:paraId="20849085">
      <w:pPr>
        <w:snapToGrid w:val="0"/>
        <w:spacing w:line="360" w:lineRule="auto"/>
        <w:jc w:val="center"/>
        <w:rPr>
          <w:rFonts w:ascii="宋体" w:hAnsi="宋体"/>
          <w:b/>
          <w:color w:val="auto"/>
          <w:spacing w:val="20"/>
          <w:sz w:val="30"/>
          <w:szCs w:val="30"/>
          <w:highlight w:val="none"/>
        </w:rPr>
      </w:pPr>
    </w:p>
    <w:p w14:paraId="7A12EC80">
      <w:pPr>
        <w:autoSpaceDE w:val="0"/>
        <w:autoSpaceDN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注：</w:t>
      </w:r>
      <w:r>
        <w:rPr>
          <w:rFonts w:hint="eastAsia" w:ascii="宋体" w:hAnsi="宋体"/>
          <w:color w:val="auto"/>
          <w:sz w:val="24"/>
          <w:szCs w:val="24"/>
          <w:highlight w:val="none"/>
        </w:rPr>
        <w:t>1.投标人应在本表中对照招标文件服务要求与实际投标服务要求逐项对应列出，并在“偏离说明”项下填写以下内容：优于的，填写“正偏离”；符合的，填写“无偏离”；低于的，填写“负偏离”。</w:t>
      </w:r>
    </w:p>
    <w:p w14:paraId="68CF3569">
      <w:pPr>
        <w:adjustRightInd w:val="0"/>
        <w:snapToGri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2.若事项较多，投标人可根据响应内容的实际情况另纸说明。</w:t>
      </w:r>
    </w:p>
    <w:p w14:paraId="70F6A2C8">
      <w:pPr>
        <w:autoSpaceDE w:val="0"/>
        <w:autoSpaceDN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3.格式可按照采购需求自拟。</w:t>
      </w:r>
    </w:p>
    <w:p w14:paraId="104BC472">
      <w:pPr>
        <w:adjustRightInd w:val="0"/>
        <w:snapToGrid w:val="0"/>
        <w:spacing w:line="46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供应商：（公章）</w:t>
      </w:r>
    </w:p>
    <w:p w14:paraId="04D1B9DD">
      <w:pPr>
        <w:adjustRightInd w:val="0"/>
        <w:snapToGrid w:val="0"/>
        <w:spacing w:line="460" w:lineRule="exact"/>
        <w:ind w:firstLine="480" w:firstLineChars="200"/>
        <w:jc w:val="left"/>
        <w:rPr>
          <w:rFonts w:ascii="宋体" w:hAnsi="宋体"/>
          <w:bCs/>
          <w:color w:val="auto"/>
          <w:sz w:val="24"/>
          <w:szCs w:val="24"/>
          <w:highlight w:val="none"/>
        </w:rPr>
      </w:pPr>
      <w:r>
        <w:rPr>
          <w:rFonts w:hint="eastAsia" w:ascii="宋体" w:hAnsi="宋体"/>
          <w:color w:val="auto"/>
          <w:sz w:val="24"/>
          <w:szCs w:val="24"/>
          <w:highlight w:val="none"/>
        </w:rPr>
        <w:t>法定代表人或代理人（签字或盖章）</w:t>
      </w:r>
      <w:r>
        <w:rPr>
          <w:rFonts w:hint="eastAsia" w:ascii="宋体" w:hAnsi="宋体"/>
          <w:bCs/>
          <w:color w:val="auto"/>
          <w:sz w:val="24"/>
          <w:szCs w:val="24"/>
          <w:highlight w:val="none"/>
        </w:rPr>
        <w:t>：</w:t>
      </w:r>
    </w:p>
    <w:p w14:paraId="6BD9423D">
      <w:pPr>
        <w:spacing w:line="460" w:lineRule="exact"/>
        <w:ind w:firstLine="480" w:firstLineChars="200"/>
        <w:rPr>
          <w:rFonts w:ascii="宋体" w:hAnsi="宋体"/>
          <w:color w:val="auto"/>
          <w:sz w:val="24"/>
          <w:highlight w:val="none"/>
        </w:rPr>
      </w:pPr>
      <w:r>
        <w:rPr>
          <w:rFonts w:hint="eastAsia" w:hAnsi="宋体"/>
          <w:color w:val="auto"/>
          <w:sz w:val="24"/>
          <w:szCs w:val="24"/>
          <w:highlight w:val="none"/>
        </w:rPr>
        <w:t>日期：   年   月   日</w:t>
      </w:r>
    </w:p>
    <w:p w14:paraId="1A0E3CE4">
      <w:pPr>
        <w:pStyle w:val="3"/>
        <w:overflowPunct w:val="0"/>
        <w:spacing w:line="360" w:lineRule="auto"/>
        <w:ind w:firstLine="0"/>
        <w:rPr>
          <w:rFonts w:ascii="宋体" w:hAnsi="宋体"/>
          <w:b/>
          <w:color w:val="auto"/>
          <w:szCs w:val="21"/>
          <w:highlight w:val="none"/>
        </w:rPr>
      </w:pPr>
      <w:r>
        <w:rPr>
          <w:rFonts w:hAnsi="宋体"/>
          <w:b/>
          <w:bCs/>
          <w:color w:val="auto"/>
          <w:sz w:val="32"/>
          <w:szCs w:val="32"/>
          <w:highlight w:val="none"/>
        </w:rPr>
        <w:br w:type="page"/>
      </w:r>
    </w:p>
    <w:p w14:paraId="3091EF04">
      <w:pPr>
        <w:pStyle w:val="5"/>
        <w:snapToGrid w:val="0"/>
        <w:spacing w:line="360" w:lineRule="auto"/>
        <w:rPr>
          <w:rFonts w:hAnsi="宋体"/>
          <w:b/>
          <w:bCs/>
          <w:color w:val="auto"/>
          <w:sz w:val="24"/>
          <w:szCs w:val="24"/>
          <w:highlight w:val="none"/>
        </w:rPr>
      </w:pPr>
      <w:r>
        <w:rPr>
          <w:rFonts w:hint="eastAsia" w:hAnsi="宋体"/>
          <w:b/>
          <w:bCs/>
          <w:color w:val="auto"/>
          <w:sz w:val="32"/>
          <w:szCs w:val="32"/>
          <w:highlight w:val="none"/>
        </w:rPr>
        <w:t>1</w:t>
      </w:r>
      <w:r>
        <w:rPr>
          <w:rFonts w:hint="eastAsia" w:hAnsi="宋体"/>
          <w:b/>
          <w:bCs/>
          <w:color w:val="auto"/>
          <w:sz w:val="32"/>
          <w:szCs w:val="32"/>
          <w:highlight w:val="none"/>
          <w:lang w:val="en-US" w:eastAsia="zh-CN"/>
        </w:rPr>
        <w:t>0</w:t>
      </w:r>
      <w:r>
        <w:rPr>
          <w:rFonts w:hint="eastAsia" w:hAnsi="宋体"/>
          <w:b/>
          <w:bCs/>
          <w:color w:val="auto"/>
          <w:sz w:val="32"/>
          <w:szCs w:val="32"/>
          <w:highlight w:val="none"/>
        </w:rPr>
        <w:t>、商务偏离表</w:t>
      </w:r>
    </w:p>
    <w:p w14:paraId="028561FF">
      <w:pPr>
        <w:spacing w:line="360" w:lineRule="auto"/>
        <w:jc w:val="center"/>
        <w:rPr>
          <w:rFonts w:hAnsi="宋体" w:cs="宋体"/>
          <w:b/>
          <w:color w:val="auto"/>
          <w:sz w:val="30"/>
          <w:szCs w:val="30"/>
          <w:highlight w:val="none"/>
        </w:rPr>
      </w:pPr>
      <w:r>
        <w:rPr>
          <w:rFonts w:hint="eastAsia" w:hAnsi="宋体" w:cs="宋体"/>
          <w:b/>
          <w:color w:val="auto"/>
          <w:sz w:val="30"/>
          <w:szCs w:val="30"/>
          <w:highlight w:val="none"/>
        </w:rPr>
        <w:t>商务条款偏离表</w:t>
      </w:r>
    </w:p>
    <w:p w14:paraId="4C0396A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hAnsi="宋体" w:eastAsia="宋体" w:cs="宋体"/>
          <w:b/>
          <w:color w:val="auto"/>
          <w:sz w:val="30"/>
          <w:szCs w:val="30"/>
          <w:highlight w:val="none"/>
          <w:lang w:val="en-US" w:eastAsia="zh-CN"/>
        </w:rPr>
      </w:pPr>
      <w:r>
        <w:rPr>
          <w:rFonts w:hint="eastAsia" w:ascii="宋体" w:hAnsi="宋体" w:cs="宋体"/>
          <w:color w:val="auto"/>
          <w:sz w:val="24"/>
          <w:szCs w:val="24"/>
          <w:highlight w:val="none"/>
        </w:rPr>
        <w:t>采购编号：</w:t>
      </w:r>
      <w:r>
        <w:rPr>
          <w:rFonts w:hint="eastAsia" w:ascii="宋体" w:hAnsi="宋体"/>
          <w:b w:val="0"/>
          <w:bCs/>
          <w:color w:val="auto"/>
          <w:sz w:val="24"/>
          <w:szCs w:val="24"/>
          <w:highlight w:val="none"/>
          <w:lang w:eastAsia="zh-CN"/>
        </w:rPr>
        <w:t>JSZC-320585-JSQY-G2025-0015</w:t>
      </w:r>
    </w:p>
    <w:tbl>
      <w:tblPr>
        <w:tblStyle w:val="15"/>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560"/>
        <w:gridCol w:w="2430"/>
        <w:gridCol w:w="1350"/>
        <w:gridCol w:w="1425"/>
        <w:gridCol w:w="1110"/>
      </w:tblGrid>
      <w:tr w14:paraId="3389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79FB6160">
            <w:pPr>
              <w:pStyle w:val="25"/>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序号</w:t>
            </w:r>
          </w:p>
        </w:tc>
        <w:tc>
          <w:tcPr>
            <w:tcW w:w="1560" w:type="dxa"/>
            <w:vAlign w:val="center"/>
          </w:tcPr>
          <w:p w14:paraId="2330B43D">
            <w:pPr>
              <w:pStyle w:val="25"/>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商务内容</w:t>
            </w:r>
          </w:p>
        </w:tc>
        <w:tc>
          <w:tcPr>
            <w:tcW w:w="2430" w:type="dxa"/>
            <w:vAlign w:val="center"/>
          </w:tcPr>
          <w:p w14:paraId="773F0417">
            <w:pPr>
              <w:pStyle w:val="25"/>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招标要求</w:t>
            </w:r>
          </w:p>
        </w:tc>
        <w:tc>
          <w:tcPr>
            <w:tcW w:w="1350" w:type="dxa"/>
            <w:vAlign w:val="center"/>
          </w:tcPr>
          <w:p w14:paraId="037015A2">
            <w:pPr>
              <w:pStyle w:val="25"/>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投标要求</w:t>
            </w:r>
          </w:p>
        </w:tc>
        <w:tc>
          <w:tcPr>
            <w:tcW w:w="1425" w:type="dxa"/>
            <w:vAlign w:val="center"/>
          </w:tcPr>
          <w:p w14:paraId="48D13690">
            <w:pPr>
              <w:pStyle w:val="25"/>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偏离/响应</w:t>
            </w:r>
          </w:p>
        </w:tc>
        <w:tc>
          <w:tcPr>
            <w:tcW w:w="1110" w:type="dxa"/>
            <w:vAlign w:val="center"/>
          </w:tcPr>
          <w:p w14:paraId="0128BF70">
            <w:pPr>
              <w:pStyle w:val="25"/>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说明</w:t>
            </w:r>
          </w:p>
        </w:tc>
      </w:tr>
      <w:tr w14:paraId="7C827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21034165">
            <w:pPr>
              <w:spacing w:before="240" w:after="240"/>
              <w:jc w:val="center"/>
              <w:rPr>
                <w:rFonts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560" w:type="dxa"/>
            <w:vAlign w:val="center"/>
          </w:tcPr>
          <w:p w14:paraId="3E4969D9">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报价</w:t>
            </w:r>
          </w:p>
        </w:tc>
        <w:tc>
          <w:tcPr>
            <w:tcW w:w="2430" w:type="dxa"/>
            <w:vAlign w:val="center"/>
          </w:tcPr>
          <w:p w14:paraId="458FA84A">
            <w:pPr>
              <w:pStyle w:val="25"/>
              <w:spacing w:line="400" w:lineRule="exact"/>
              <w:jc w:val="center"/>
              <w:rPr>
                <w:rFonts w:hAnsi="宋体" w:eastAsia="宋体" w:cs="宋体"/>
                <w:bCs/>
                <w:color w:val="auto"/>
                <w:sz w:val="24"/>
                <w:szCs w:val="24"/>
                <w:highlight w:val="none"/>
              </w:rPr>
            </w:pPr>
          </w:p>
        </w:tc>
        <w:tc>
          <w:tcPr>
            <w:tcW w:w="1350" w:type="dxa"/>
            <w:vAlign w:val="center"/>
          </w:tcPr>
          <w:p w14:paraId="48F32E43">
            <w:pPr>
              <w:pStyle w:val="25"/>
              <w:spacing w:line="400" w:lineRule="exact"/>
              <w:jc w:val="center"/>
              <w:rPr>
                <w:rFonts w:hAnsi="宋体" w:eastAsia="宋体" w:cs="宋体"/>
                <w:bCs/>
                <w:color w:val="auto"/>
                <w:sz w:val="24"/>
                <w:szCs w:val="24"/>
                <w:highlight w:val="none"/>
              </w:rPr>
            </w:pPr>
          </w:p>
        </w:tc>
        <w:tc>
          <w:tcPr>
            <w:tcW w:w="1425" w:type="dxa"/>
            <w:vAlign w:val="center"/>
          </w:tcPr>
          <w:p w14:paraId="6D67733B">
            <w:pPr>
              <w:pStyle w:val="25"/>
              <w:spacing w:line="400" w:lineRule="exact"/>
              <w:jc w:val="center"/>
              <w:rPr>
                <w:rFonts w:hAnsi="宋体" w:eastAsia="宋体" w:cs="宋体"/>
                <w:bCs/>
                <w:color w:val="auto"/>
                <w:sz w:val="24"/>
                <w:szCs w:val="24"/>
                <w:highlight w:val="none"/>
              </w:rPr>
            </w:pPr>
          </w:p>
        </w:tc>
        <w:tc>
          <w:tcPr>
            <w:tcW w:w="1110" w:type="dxa"/>
            <w:vAlign w:val="center"/>
          </w:tcPr>
          <w:p w14:paraId="2BD96513">
            <w:pPr>
              <w:pStyle w:val="25"/>
              <w:spacing w:line="400" w:lineRule="exact"/>
              <w:jc w:val="center"/>
              <w:rPr>
                <w:rFonts w:hAnsi="宋体" w:eastAsia="宋体" w:cs="宋体"/>
                <w:bCs/>
                <w:color w:val="auto"/>
                <w:sz w:val="24"/>
                <w:szCs w:val="24"/>
                <w:highlight w:val="none"/>
              </w:rPr>
            </w:pPr>
          </w:p>
        </w:tc>
      </w:tr>
      <w:tr w14:paraId="6E08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97" w:type="dxa"/>
            <w:vAlign w:val="center"/>
          </w:tcPr>
          <w:p w14:paraId="75294699">
            <w:pPr>
              <w:spacing w:before="240" w:after="240"/>
              <w:jc w:val="center"/>
              <w:rPr>
                <w:rFonts w:ascii="宋体" w:hAnsi="宋体" w:cs="宋体"/>
                <w:bCs/>
                <w:color w:val="auto"/>
                <w:sz w:val="24"/>
                <w:szCs w:val="24"/>
                <w:highlight w:val="none"/>
              </w:rPr>
            </w:pPr>
            <w:r>
              <w:rPr>
                <w:rFonts w:hint="eastAsia" w:ascii="宋体" w:hAnsi="宋体" w:cs="宋体"/>
                <w:bCs/>
                <w:color w:val="auto"/>
                <w:sz w:val="24"/>
                <w:szCs w:val="24"/>
                <w:highlight w:val="none"/>
              </w:rPr>
              <w:t>2</w:t>
            </w:r>
          </w:p>
        </w:tc>
        <w:tc>
          <w:tcPr>
            <w:tcW w:w="1560" w:type="dxa"/>
            <w:vAlign w:val="center"/>
          </w:tcPr>
          <w:p w14:paraId="1ABA964F">
            <w:pPr>
              <w:jc w:val="center"/>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服务期限</w:t>
            </w:r>
          </w:p>
        </w:tc>
        <w:tc>
          <w:tcPr>
            <w:tcW w:w="2430" w:type="dxa"/>
            <w:vAlign w:val="center"/>
          </w:tcPr>
          <w:p w14:paraId="727C901E">
            <w:pPr>
              <w:widowControl/>
              <w:shd w:val="clear" w:color="auto" w:fill="FFFFFF"/>
              <w:spacing w:line="360" w:lineRule="auto"/>
              <w:ind w:firstLine="480" w:firstLineChars="200"/>
              <w:rPr>
                <w:rFonts w:hint="default" w:ascii="宋体" w:hAnsi="宋体" w:eastAsia="宋体" w:cs="宋体"/>
                <w:bCs/>
                <w:color w:val="auto"/>
                <w:sz w:val="24"/>
                <w:szCs w:val="24"/>
                <w:highlight w:val="none"/>
                <w:lang w:val="en-US" w:eastAsia="zh-CN"/>
              </w:rPr>
            </w:pPr>
          </w:p>
        </w:tc>
        <w:tc>
          <w:tcPr>
            <w:tcW w:w="1350" w:type="dxa"/>
            <w:vAlign w:val="center"/>
          </w:tcPr>
          <w:p w14:paraId="389523C5">
            <w:pPr>
              <w:pStyle w:val="25"/>
              <w:spacing w:line="400" w:lineRule="exact"/>
              <w:jc w:val="center"/>
              <w:rPr>
                <w:rFonts w:hAnsi="宋体" w:eastAsia="宋体" w:cs="宋体"/>
                <w:bCs/>
                <w:color w:val="auto"/>
                <w:sz w:val="24"/>
                <w:szCs w:val="24"/>
                <w:highlight w:val="none"/>
              </w:rPr>
            </w:pPr>
          </w:p>
        </w:tc>
        <w:tc>
          <w:tcPr>
            <w:tcW w:w="1425" w:type="dxa"/>
            <w:vAlign w:val="center"/>
          </w:tcPr>
          <w:p w14:paraId="5ABA17BE">
            <w:pPr>
              <w:pStyle w:val="25"/>
              <w:spacing w:line="400" w:lineRule="exact"/>
              <w:jc w:val="center"/>
              <w:rPr>
                <w:rFonts w:hAnsi="宋体" w:eastAsia="宋体" w:cs="宋体"/>
                <w:bCs/>
                <w:color w:val="auto"/>
                <w:sz w:val="24"/>
                <w:szCs w:val="24"/>
                <w:highlight w:val="none"/>
              </w:rPr>
            </w:pPr>
          </w:p>
        </w:tc>
        <w:tc>
          <w:tcPr>
            <w:tcW w:w="1110" w:type="dxa"/>
            <w:vAlign w:val="center"/>
          </w:tcPr>
          <w:p w14:paraId="11054198">
            <w:pPr>
              <w:pStyle w:val="25"/>
              <w:spacing w:line="400" w:lineRule="exact"/>
              <w:jc w:val="center"/>
              <w:rPr>
                <w:rFonts w:hAnsi="宋体" w:eastAsia="宋体" w:cs="宋体"/>
                <w:bCs/>
                <w:color w:val="auto"/>
                <w:sz w:val="24"/>
                <w:szCs w:val="24"/>
                <w:highlight w:val="none"/>
              </w:rPr>
            </w:pPr>
          </w:p>
        </w:tc>
      </w:tr>
      <w:tr w14:paraId="72A7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3297294A">
            <w:pPr>
              <w:spacing w:before="240" w:after="240"/>
              <w:jc w:val="center"/>
              <w:rPr>
                <w:rFonts w:ascii="宋体" w:hAnsi="宋体" w:cs="宋体"/>
                <w:bCs/>
                <w:color w:val="auto"/>
                <w:sz w:val="24"/>
                <w:szCs w:val="24"/>
                <w:highlight w:val="none"/>
              </w:rPr>
            </w:pPr>
            <w:r>
              <w:rPr>
                <w:rFonts w:hint="eastAsia" w:ascii="宋体" w:hAnsi="宋体" w:cs="宋体"/>
                <w:bCs/>
                <w:color w:val="auto"/>
                <w:sz w:val="24"/>
                <w:szCs w:val="24"/>
                <w:highlight w:val="none"/>
              </w:rPr>
              <w:t>3</w:t>
            </w:r>
          </w:p>
        </w:tc>
        <w:tc>
          <w:tcPr>
            <w:tcW w:w="1560" w:type="dxa"/>
            <w:vAlign w:val="center"/>
          </w:tcPr>
          <w:p w14:paraId="011D761D">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付款方式</w:t>
            </w:r>
          </w:p>
        </w:tc>
        <w:tc>
          <w:tcPr>
            <w:tcW w:w="2430" w:type="dxa"/>
            <w:vAlign w:val="center"/>
          </w:tcPr>
          <w:p w14:paraId="3F0C6800">
            <w:pPr>
              <w:spacing w:line="360" w:lineRule="auto"/>
              <w:rPr>
                <w:rFonts w:ascii="宋体" w:hAnsi="宋体" w:eastAsia="宋体" w:cs="宋体"/>
                <w:bCs/>
                <w:color w:val="auto"/>
                <w:highlight w:val="none"/>
              </w:rPr>
            </w:pPr>
          </w:p>
        </w:tc>
        <w:tc>
          <w:tcPr>
            <w:tcW w:w="1350" w:type="dxa"/>
            <w:vAlign w:val="center"/>
          </w:tcPr>
          <w:p w14:paraId="239FB8CB">
            <w:pPr>
              <w:pStyle w:val="25"/>
              <w:spacing w:line="400" w:lineRule="exact"/>
              <w:rPr>
                <w:rFonts w:hAnsi="宋体" w:eastAsia="宋体" w:cs="宋体"/>
                <w:bCs/>
                <w:color w:val="auto"/>
                <w:sz w:val="24"/>
                <w:szCs w:val="24"/>
                <w:highlight w:val="none"/>
              </w:rPr>
            </w:pPr>
          </w:p>
        </w:tc>
        <w:tc>
          <w:tcPr>
            <w:tcW w:w="1425" w:type="dxa"/>
            <w:vAlign w:val="center"/>
          </w:tcPr>
          <w:p w14:paraId="181C5807">
            <w:pPr>
              <w:pStyle w:val="25"/>
              <w:spacing w:line="400" w:lineRule="exact"/>
              <w:jc w:val="center"/>
              <w:rPr>
                <w:rFonts w:hAnsi="宋体" w:eastAsia="宋体" w:cs="宋体"/>
                <w:bCs/>
                <w:color w:val="auto"/>
                <w:sz w:val="24"/>
                <w:szCs w:val="24"/>
                <w:highlight w:val="none"/>
              </w:rPr>
            </w:pPr>
          </w:p>
        </w:tc>
        <w:tc>
          <w:tcPr>
            <w:tcW w:w="1110" w:type="dxa"/>
            <w:vAlign w:val="center"/>
          </w:tcPr>
          <w:p w14:paraId="269CC863">
            <w:pPr>
              <w:pStyle w:val="25"/>
              <w:spacing w:line="400" w:lineRule="exact"/>
              <w:jc w:val="center"/>
              <w:rPr>
                <w:rFonts w:hAnsi="宋体" w:eastAsia="宋体" w:cs="宋体"/>
                <w:bCs/>
                <w:color w:val="auto"/>
                <w:sz w:val="24"/>
                <w:szCs w:val="24"/>
                <w:highlight w:val="none"/>
              </w:rPr>
            </w:pPr>
          </w:p>
        </w:tc>
      </w:tr>
      <w:tr w14:paraId="30F7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97" w:type="dxa"/>
            <w:vAlign w:val="center"/>
          </w:tcPr>
          <w:p w14:paraId="51CC558F">
            <w:pPr>
              <w:spacing w:before="240" w:after="240"/>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560" w:type="dxa"/>
            <w:vAlign w:val="center"/>
          </w:tcPr>
          <w:p w14:paraId="6A96A758">
            <w:pPr>
              <w:jc w:val="center"/>
              <w:rPr>
                <w:rFonts w:ascii="宋体" w:hAnsi="宋体" w:cs="宋体"/>
                <w:color w:val="auto"/>
                <w:sz w:val="24"/>
                <w:szCs w:val="24"/>
                <w:highlight w:val="none"/>
              </w:rPr>
            </w:pPr>
            <w:r>
              <w:rPr>
                <w:rFonts w:hint="eastAsia" w:ascii="宋体" w:hAnsi="宋体" w:cs="宋体"/>
                <w:color w:val="auto"/>
                <w:sz w:val="24"/>
                <w:szCs w:val="24"/>
                <w:highlight w:val="none"/>
              </w:rPr>
              <w:t>其他</w:t>
            </w:r>
          </w:p>
        </w:tc>
        <w:tc>
          <w:tcPr>
            <w:tcW w:w="2430" w:type="dxa"/>
            <w:vAlign w:val="center"/>
          </w:tcPr>
          <w:p w14:paraId="514EA7F7">
            <w:pPr>
              <w:pStyle w:val="25"/>
              <w:spacing w:line="400" w:lineRule="exact"/>
              <w:jc w:val="center"/>
              <w:rPr>
                <w:rFonts w:hAnsi="宋体" w:eastAsia="宋体" w:cs="宋体"/>
                <w:color w:val="auto"/>
                <w:sz w:val="24"/>
                <w:szCs w:val="24"/>
                <w:highlight w:val="none"/>
              </w:rPr>
            </w:pPr>
          </w:p>
        </w:tc>
        <w:tc>
          <w:tcPr>
            <w:tcW w:w="1350" w:type="dxa"/>
            <w:vAlign w:val="center"/>
          </w:tcPr>
          <w:p w14:paraId="74C16E85">
            <w:pPr>
              <w:pStyle w:val="25"/>
              <w:spacing w:line="400" w:lineRule="exact"/>
              <w:jc w:val="center"/>
              <w:rPr>
                <w:rFonts w:hAnsi="宋体" w:eastAsia="宋体" w:cs="宋体"/>
                <w:b/>
                <w:color w:val="auto"/>
                <w:sz w:val="24"/>
                <w:szCs w:val="24"/>
                <w:highlight w:val="none"/>
              </w:rPr>
            </w:pPr>
          </w:p>
        </w:tc>
        <w:tc>
          <w:tcPr>
            <w:tcW w:w="1425" w:type="dxa"/>
            <w:vAlign w:val="center"/>
          </w:tcPr>
          <w:p w14:paraId="04338C13">
            <w:pPr>
              <w:pStyle w:val="25"/>
              <w:spacing w:line="400" w:lineRule="exact"/>
              <w:jc w:val="center"/>
              <w:rPr>
                <w:rFonts w:hAnsi="宋体" w:eastAsia="宋体" w:cs="宋体"/>
                <w:b/>
                <w:color w:val="auto"/>
                <w:sz w:val="24"/>
                <w:szCs w:val="24"/>
                <w:highlight w:val="none"/>
              </w:rPr>
            </w:pPr>
          </w:p>
        </w:tc>
        <w:tc>
          <w:tcPr>
            <w:tcW w:w="1110" w:type="dxa"/>
            <w:vAlign w:val="center"/>
          </w:tcPr>
          <w:p w14:paraId="269D017F">
            <w:pPr>
              <w:pStyle w:val="25"/>
              <w:spacing w:line="400" w:lineRule="exact"/>
              <w:jc w:val="center"/>
              <w:rPr>
                <w:rFonts w:hAnsi="宋体" w:eastAsia="宋体" w:cs="宋体"/>
                <w:b/>
                <w:color w:val="auto"/>
                <w:sz w:val="24"/>
                <w:szCs w:val="24"/>
                <w:highlight w:val="none"/>
              </w:rPr>
            </w:pPr>
          </w:p>
        </w:tc>
      </w:tr>
      <w:tr w14:paraId="214D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897" w:type="dxa"/>
            <w:vAlign w:val="center"/>
          </w:tcPr>
          <w:p w14:paraId="36BDD93F">
            <w:pPr>
              <w:spacing w:before="240" w:after="240"/>
              <w:jc w:val="center"/>
              <w:rPr>
                <w:rFonts w:ascii="宋体" w:hAnsi="宋体" w:cs="宋体"/>
                <w:b/>
                <w:color w:val="auto"/>
                <w:sz w:val="24"/>
                <w:szCs w:val="24"/>
                <w:highlight w:val="none"/>
              </w:rPr>
            </w:pPr>
            <w:r>
              <w:rPr>
                <w:rFonts w:hint="eastAsia" w:hAnsi="宋体" w:cs="宋体"/>
                <w:b/>
                <w:color w:val="auto"/>
                <w:sz w:val="24"/>
                <w:szCs w:val="24"/>
                <w:highlight w:val="none"/>
              </w:rPr>
              <w:t>...</w:t>
            </w:r>
          </w:p>
        </w:tc>
        <w:tc>
          <w:tcPr>
            <w:tcW w:w="1560" w:type="dxa"/>
            <w:vAlign w:val="center"/>
          </w:tcPr>
          <w:p w14:paraId="149D4F8B">
            <w:pPr>
              <w:jc w:val="center"/>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430" w:type="dxa"/>
            <w:vAlign w:val="center"/>
          </w:tcPr>
          <w:p w14:paraId="026070F1">
            <w:pPr>
              <w:pStyle w:val="25"/>
              <w:spacing w:line="400" w:lineRule="exact"/>
              <w:jc w:val="center"/>
              <w:rPr>
                <w:rFonts w:hAnsi="宋体" w:eastAsia="宋体" w:cs="宋体"/>
                <w:b/>
                <w:color w:val="auto"/>
                <w:sz w:val="24"/>
                <w:szCs w:val="24"/>
                <w:highlight w:val="none"/>
              </w:rPr>
            </w:pPr>
          </w:p>
        </w:tc>
        <w:tc>
          <w:tcPr>
            <w:tcW w:w="1350" w:type="dxa"/>
            <w:vAlign w:val="center"/>
          </w:tcPr>
          <w:p w14:paraId="233C5DF3">
            <w:pPr>
              <w:pStyle w:val="25"/>
              <w:spacing w:line="400" w:lineRule="exact"/>
              <w:jc w:val="center"/>
              <w:rPr>
                <w:rFonts w:hAnsi="宋体" w:eastAsia="宋体" w:cs="宋体"/>
                <w:b/>
                <w:color w:val="auto"/>
                <w:sz w:val="24"/>
                <w:szCs w:val="24"/>
                <w:highlight w:val="none"/>
              </w:rPr>
            </w:pPr>
          </w:p>
        </w:tc>
        <w:tc>
          <w:tcPr>
            <w:tcW w:w="1425" w:type="dxa"/>
            <w:vAlign w:val="center"/>
          </w:tcPr>
          <w:p w14:paraId="586C31A0">
            <w:pPr>
              <w:pStyle w:val="25"/>
              <w:spacing w:line="400" w:lineRule="exact"/>
              <w:jc w:val="center"/>
              <w:rPr>
                <w:rFonts w:hAnsi="宋体" w:eastAsia="宋体" w:cs="宋体"/>
                <w:b/>
                <w:color w:val="auto"/>
                <w:sz w:val="24"/>
                <w:szCs w:val="24"/>
                <w:highlight w:val="none"/>
              </w:rPr>
            </w:pPr>
          </w:p>
        </w:tc>
        <w:tc>
          <w:tcPr>
            <w:tcW w:w="1110" w:type="dxa"/>
            <w:vAlign w:val="center"/>
          </w:tcPr>
          <w:p w14:paraId="29B19061">
            <w:pPr>
              <w:pStyle w:val="25"/>
              <w:spacing w:line="400" w:lineRule="exact"/>
              <w:jc w:val="center"/>
              <w:rPr>
                <w:rFonts w:hAnsi="宋体" w:eastAsia="宋体" w:cs="宋体"/>
                <w:b/>
                <w:color w:val="auto"/>
                <w:sz w:val="24"/>
                <w:szCs w:val="24"/>
                <w:highlight w:val="none"/>
              </w:rPr>
            </w:pPr>
          </w:p>
        </w:tc>
      </w:tr>
    </w:tbl>
    <w:p w14:paraId="579D1535">
      <w:pPr>
        <w:ind w:firstLine="420"/>
        <w:rPr>
          <w:rFonts w:ascii="宋体" w:hAnsi="宋体" w:cs="宋体"/>
          <w:color w:val="auto"/>
          <w:sz w:val="24"/>
          <w:szCs w:val="24"/>
          <w:highlight w:val="none"/>
        </w:rPr>
      </w:pPr>
    </w:p>
    <w:p w14:paraId="45A48BFC">
      <w:pPr>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p>
    <w:p w14:paraId="6E16C8B3">
      <w:pPr>
        <w:spacing w:line="360" w:lineRule="auto"/>
        <w:ind w:firstLine="3840" w:firstLineChars="1600"/>
        <w:rPr>
          <w:rFonts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（单位盖章）：</w:t>
      </w:r>
    </w:p>
    <w:p w14:paraId="2161A54B">
      <w:pPr>
        <w:spacing w:line="360" w:lineRule="auto"/>
        <w:ind w:firstLine="3840" w:firstLineChars="1600"/>
        <w:rPr>
          <w:rFonts w:ascii="宋体" w:hAnsi="宋体" w:cs="宋体"/>
          <w:color w:val="auto"/>
          <w:sz w:val="24"/>
          <w:szCs w:val="24"/>
          <w:highlight w:val="none"/>
        </w:rPr>
      </w:pPr>
      <w:r>
        <w:rPr>
          <w:rFonts w:hint="eastAsia" w:ascii="宋体" w:hAnsi="宋体" w:cs="宋体"/>
          <w:color w:val="auto"/>
          <w:sz w:val="24"/>
          <w:szCs w:val="24"/>
          <w:highlight w:val="none"/>
        </w:rPr>
        <w:t>法定代表人或代理人（签字或盖章）：</w:t>
      </w:r>
    </w:p>
    <w:p w14:paraId="141929C8">
      <w:pPr>
        <w:spacing w:line="360" w:lineRule="auto"/>
        <w:ind w:firstLine="3840" w:firstLineChars="1600"/>
        <w:rPr>
          <w:rFonts w:ascii="宋体" w:hAnsi="宋体" w:cs="宋体"/>
          <w:color w:val="auto"/>
          <w:sz w:val="24"/>
          <w:szCs w:val="24"/>
          <w:highlight w:val="none"/>
        </w:rPr>
      </w:pPr>
      <w:r>
        <w:rPr>
          <w:rFonts w:hint="eastAsia" w:ascii="宋体" w:hAnsi="宋体" w:cs="宋体"/>
          <w:color w:val="auto"/>
          <w:sz w:val="24"/>
          <w:szCs w:val="24"/>
          <w:highlight w:val="none"/>
        </w:rPr>
        <w:t>日期：年月日</w:t>
      </w:r>
    </w:p>
    <w:p w14:paraId="3D27D21C">
      <w:pPr>
        <w:pStyle w:val="3"/>
        <w:overflowPunct w:val="0"/>
        <w:spacing w:line="360" w:lineRule="auto"/>
        <w:ind w:firstLine="0"/>
        <w:rPr>
          <w:rFonts w:hint="eastAsia" w:ascii="宋体" w:hAnsi="宋体"/>
          <w:b/>
          <w:color w:val="auto"/>
          <w:sz w:val="32"/>
          <w:szCs w:val="32"/>
          <w:highlight w:val="none"/>
        </w:rPr>
      </w:pPr>
    </w:p>
    <w:p w14:paraId="2E6420AB">
      <w:pPr>
        <w:pStyle w:val="3"/>
        <w:overflowPunct w:val="0"/>
        <w:spacing w:line="360" w:lineRule="auto"/>
        <w:ind w:firstLine="0"/>
        <w:rPr>
          <w:rFonts w:hint="eastAsia" w:ascii="宋体" w:hAnsi="宋体"/>
          <w:b/>
          <w:color w:val="auto"/>
          <w:sz w:val="32"/>
          <w:szCs w:val="32"/>
          <w:highlight w:val="none"/>
        </w:rPr>
      </w:pPr>
    </w:p>
    <w:p w14:paraId="05EF877F">
      <w:pPr>
        <w:pStyle w:val="3"/>
        <w:overflowPunct w:val="0"/>
        <w:spacing w:line="360" w:lineRule="auto"/>
        <w:ind w:firstLine="0"/>
        <w:rPr>
          <w:rFonts w:hint="eastAsia" w:ascii="宋体" w:hAnsi="宋体"/>
          <w:b/>
          <w:color w:val="auto"/>
          <w:sz w:val="32"/>
          <w:szCs w:val="32"/>
          <w:highlight w:val="none"/>
        </w:rPr>
      </w:pPr>
    </w:p>
    <w:p w14:paraId="28822D7A">
      <w:pPr>
        <w:pStyle w:val="3"/>
        <w:overflowPunct w:val="0"/>
        <w:spacing w:line="360" w:lineRule="auto"/>
        <w:ind w:firstLine="0"/>
        <w:rPr>
          <w:rFonts w:hint="eastAsia" w:ascii="宋体" w:hAnsi="宋体"/>
          <w:b/>
          <w:color w:val="auto"/>
          <w:sz w:val="32"/>
          <w:szCs w:val="32"/>
          <w:highlight w:val="none"/>
        </w:rPr>
      </w:pPr>
    </w:p>
    <w:p w14:paraId="3F6122DC">
      <w:pPr>
        <w:pStyle w:val="3"/>
        <w:overflowPunct w:val="0"/>
        <w:spacing w:line="360" w:lineRule="auto"/>
        <w:ind w:firstLine="0"/>
        <w:rPr>
          <w:rFonts w:hint="eastAsia" w:ascii="宋体" w:hAnsi="宋体"/>
          <w:b/>
          <w:color w:val="auto"/>
          <w:sz w:val="32"/>
          <w:szCs w:val="32"/>
          <w:highlight w:val="none"/>
        </w:rPr>
      </w:pPr>
    </w:p>
    <w:p w14:paraId="68E81406">
      <w:pPr>
        <w:pStyle w:val="3"/>
        <w:overflowPunct w:val="0"/>
        <w:spacing w:line="360" w:lineRule="auto"/>
        <w:ind w:firstLine="0"/>
        <w:rPr>
          <w:rFonts w:hint="eastAsia" w:ascii="宋体" w:hAnsi="宋体"/>
          <w:b/>
          <w:color w:val="auto"/>
          <w:sz w:val="32"/>
          <w:szCs w:val="32"/>
          <w:highlight w:val="none"/>
        </w:rPr>
      </w:pPr>
    </w:p>
    <w:p w14:paraId="38E0B2D3">
      <w:pPr>
        <w:pStyle w:val="3"/>
        <w:overflowPunct w:val="0"/>
        <w:spacing w:line="360" w:lineRule="auto"/>
        <w:ind w:firstLine="0"/>
        <w:rPr>
          <w:rFonts w:hint="eastAsia" w:ascii="宋体" w:hAnsi="宋体"/>
          <w:b/>
          <w:color w:val="auto"/>
          <w:sz w:val="32"/>
          <w:szCs w:val="32"/>
          <w:highlight w:val="none"/>
        </w:rPr>
      </w:pPr>
    </w:p>
    <w:p w14:paraId="18D889D7">
      <w:pPr>
        <w:pStyle w:val="3"/>
        <w:overflowPunct w:val="0"/>
        <w:spacing w:line="360" w:lineRule="auto"/>
        <w:ind w:firstLine="0"/>
        <w:rPr>
          <w:rFonts w:hint="eastAsia" w:ascii="宋体" w:hAnsi="宋体"/>
          <w:b/>
          <w:color w:val="auto"/>
          <w:sz w:val="32"/>
          <w:szCs w:val="32"/>
          <w:highlight w:val="none"/>
        </w:rPr>
      </w:pPr>
    </w:p>
    <w:p w14:paraId="2BFD87AA">
      <w:pPr>
        <w:pStyle w:val="3"/>
        <w:overflowPunct w:val="0"/>
        <w:spacing w:line="360" w:lineRule="auto"/>
        <w:ind w:firstLine="0"/>
        <w:rPr>
          <w:rFonts w:hint="eastAsia" w:ascii="宋体" w:hAnsi="宋体"/>
          <w:b/>
          <w:color w:val="auto"/>
          <w:sz w:val="32"/>
          <w:szCs w:val="32"/>
          <w:highlight w:val="none"/>
        </w:rPr>
      </w:pPr>
    </w:p>
    <w:p w14:paraId="27506320">
      <w:pPr>
        <w:pStyle w:val="3"/>
        <w:overflowPunct w:val="0"/>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1</w:t>
      </w:r>
      <w:r>
        <w:rPr>
          <w:rFonts w:hint="eastAsia" w:ascii="宋体" w:hAnsi="宋体"/>
          <w:b/>
          <w:color w:val="auto"/>
          <w:sz w:val="32"/>
          <w:szCs w:val="32"/>
          <w:highlight w:val="none"/>
        </w:rPr>
        <w:t>、企业类似业绩一览表</w:t>
      </w:r>
    </w:p>
    <w:p w14:paraId="0E5C01A9">
      <w:pPr>
        <w:spacing w:line="360" w:lineRule="auto"/>
        <w:jc w:val="center"/>
        <w:rPr>
          <w:rFonts w:ascii="宋体" w:hAnsi="宋体"/>
          <w:b/>
          <w:color w:val="auto"/>
          <w:sz w:val="28"/>
          <w:szCs w:val="28"/>
          <w:highlight w:val="none"/>
        </w:rPr>
      </w:pPr>
    </w:p>
    <w:p w14:paraId="646CF01F">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企业类似业绩一览表</w:t>
      </w:r>
    </w:p>
    <w:tbl>
      <w:tblPr>
        <w:tblStyle w:val="15"/>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3DD95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36" w:type="dxa"/>
            <w:vAlign w:val="center"/>
          </w:tcPr>
          <w:p w14:paraId="139DAC47">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356" w:type="dxa"/>
            <w:vAlign w:val="center"/>
          </w:tcPr>
          <w:p w14:paraId="45EDBFAF">
            <w:pPr>
              <w:spacing w:line="360" w:lineRule="auto"/>
              <w:jc w:val="center"/>
              <w:rPr>
                <w:rFonts w:ascii="宋体" w:hAnsi="宋体"/>
                <w:color w:val="auto"/>
                <w:sz w:val="24"/>
                <w:highlight w:val="none"/>
              </w:rPr>
            </w:pPr>
            <w:r>
              <w:rPr>
                <w:rFonts w:hint="eastAsia" w:ascii="宋体" w:hAnsi="宋体"/>
                <w:color w:val="auto"/>
                <w:sz w:val="24"/>
                <w:highlight w:val="none"/>
              </w:rPr>
              <w:t>项目名称</w:t>
            </w:r>
          </w:p>
        </w:tc>
        <w:tc>
          <w:tcPr>
            <w:tcW w:w="1327" w:type="dxa"/>
            <w:vAlign w:val="center"/>
          </w:tcPr>
          <w:p w14:paraId="0765498E">
            <w:pPr>
              <w:spacing w:line="360" w:lineRule="auto"/>
              <w:jc w:val="center"/>
              <w:rPr>
                <w:rFonts w:ascii="宋体" w:hAnsi="宋体"/>
                <w:color w:val="auto"/>
                <w:sz w:val="24"/>
                <w:highlight w:val="none"/>
              </w:rPr>
            </w:pPr>
            <w:r>
              <w:rPr>
                <w:rFonts w:hint="eastAsia" w:ascii="宋体" w:hAnsi="宋体"/>
                <w:color w:val="auto"/>
                <w:sz w:val="24"/>
                <w:highlight w:val="none"/>
              </w:rPr>
              <w:t>项目时间</w:t>
            </w:r>
          </w:p>
        </w:tc>
        <w:tc>
          <w:tcPr>
            <w:tcW w:w="1347" w:type="dxa"/>
            <w:vAlign w:val="center"/>
          </w:tcPr>
          <w:p w14:paraId="66E47402">
            <w:pPr>
              <w:tabs>
                <w:tab w:val="left" w:pos="6252"/>
              </w:tabs>
              <w:jc w:val="center"/>
              <w:rPr>
                <w:rFonts w:ascii="宋体" w:hAnsi="宋体"/>
                <w:color w:val="auto"/>
                <w:sz w:val="24"/>
                <w:highlight w:val="none"/>
              </w:rPr>
            </w:pPr>
            <w:r>
              <w:rPr>
                <w:rFonts w:hint="eastAsia" w:ascii="宋体" w:hAnsi="宋体"/>
                <w:color w:val="auto"/>
                <w:sz w:val="24"/>
                <w:highlight w:val="none"/>
              </w:rPr>
              <w:t>合同金额</w:t>
            </w:r>
          </w:p>
          <w:p w14:paraId="398B81DC">
            <w:pPr>
              <w:tabs>
                <w:tab w:val="left" w:pos="6252"/>
              </w:tabs>
              <w:jc w:val="center"/>
              <w:rPr>
                <w:rFonts w:ascii="宋体" w:hAnsi="宋体"/>
                <w:color w:val="auto"/>
                <w:sz w:val="24"/>
                <w:highlight w:val="none"/>
              </w:rPr>
            </w:pPr>
            <w:r>
              <w:rPr>
                <w:rFonts w:hint="eastAsia" w:ascii="宋体" w:hAnsi="宋体"/>
                <w:color w:val="auto"/>
                <w:sz w:val="24"/>
                <w:highlight w:val="none"/>
              </w:rPr>
              <w:t>（人民币）</w:t>
            </w:r>
          </w:p>
        </w:tc>
        <w:tc>
          <w:tcPr>
            <w:tcW w:w="1965" w:type="dxa"/>
            <w:vAlign w:val="center"/>
          </w:tcPr>
          <w:p w14:paraId="3E384D5B">
            <w:pPr>
              <w:spacing w:line="360" w:lineRule="auto"/>
              <w:jc w:val="center"/>
              <w:rPr>
                <w:rFonts w:ascii="宋体" w:hAnsi="宋体"/>
                <w:color w:val="auto"/>
                <w:sz w:val="24"/>
                <w:highlight w:val="none"/>
              </w:rPr>
            </w:pPr>
            <w:r>
              <w:rPr>
                <w:rFonts w:hint="eastAsia" w:ascii="宋体" w:hAnsi="宋体"/>
                <w:color w:val="auto"/>
                <w:sz w:val="24"/>
                <w:highlight w:val="none"/>
              </w:rPr>
              <w:t>业主单位</w:t>
            </w:r>
          </w:p>
        </w:tc>
        <w:tc>
          <w:tcPr>
            <w:tcW w:w="1274" w:type="dxa"/>
            <w:vAlign w:val="center"/>
          </w:tcPr>
          <w:p w14:paraId="663063C6">
            <w:pPr>
              <w:spacing w:line="360" w:lineRule="auto"/>
              <w:jc w:val="center"/>
              <w:rPr>
                <w:rFonts w:ascii="宋体" w:hAnsi="宋体"/>
                <w:color w:val="auto"/>
                <w:sz w:val="24"/>
                <w:highlight w:val="none"/>
              </w:rPr>
            </w:pPr>
            <w:r>
              <w:rPr>
                <w:rFonts w:hint="eastAsia" w:ascii="宋体" w:hAnsi="宋体"/>
                <w:color w:val="auto"/>
                <w:sz w:val="24"/>
                <w:highlight w:val="none"/>
              </w:rPr>
              <w:t>项目类型</w:t>
            </w:r>
          </w:p>
        </w:tc>
      </w:tr>
      <w:tr w14:paraId="30CD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CCB7D1B">
            <w:pPr>
              <w:spacing w:line="360" w:lineRule="auto"/>
              <w:jc w:val="center"/>
              <w:rPr>
                <w:rFonts w:ascii="宋体" w:hAnsi="宋体"/>
                <w:color w:val="auto"/>
                <w:sz w:val="24"/>
                <w:highlight w:val="none"/>
              </w:rPr>
            </w:pPr>
            <w:r>
              <w:rPr>
                <w:rFonts w:hint="eastAsia" w:ascii="宋体" w:hAnsi="宋体"/>
                <w:color w:val="auto"/>
                <w:sz w:val="24"/>
                <w:highlight w:val="none"/>
              </w:rPr>
              <w:t>1</w:t>
            </w:r>
          </w:p>
        </w:tc>
        <w:tc>
          <w:tcPr>
            <w:tcW w:w="1356" w:type="dxa"/>
            <w:vAlign w:val="center"/>
          </w:tcPr>
          <w:p w14:paraId="2EA9A32E">
            <w:pPr>
              <w:spacing w:line="360" w:lineRule="auto"/>
              <w:jc w:val="center"/>
              <w:rPr>
                <w:rFonts w:ascii="宋体" w:hAnsi="宋体"/>
                <w:color w:val="auto"/>
                <w:sz w:val="24"/>
                <w:highlight w:val="none"/>
              </w:rPr>
            </w:pPr>
          </w:p>
        </w:tc>
        <w:tc>
          <w:tcPr>
            <w:tcW w:w="1327" w:type="dxa"/>
          </w:tcPr>
          <w:p w14:paraId="07320E6A">
            <w:pPr>
              <w:spacing w:line="360" w:lineRule="auto"/>
              <w:jc w:val="center"/>
              <w:rPr>
                <w:rFonts w:ascii="宋体" w:hAnsi="宋体"/>
                <w:color w:val="auto"/>
                <w:sz w:val="24"/>
                <w:highlight w:val="none"/>
              </w:rPr>
            </w:pPr>
          </w:p>
        </w:tc>
        <w:tc>
          <w:tcPr>
            <w:tcW w:w="1347" w:type="dxa"/>
            <w:vAlign w:val="center"/>
          </w:tcPr>
          <w:p w14:paraId="51318CAE">
            <w:pPr>
              <w:spacing w:line="360" w:lineRule="auto"/>
              <w:jc w:val="center"/>
              <w:rPr>
                <w:rFonts w:ascii="宋体" w:hAnsi="宋体"/>
                <w:color w:val="auto"/>
                <w:sz w:val="24"/>
                <w:highlight w:val="none"/>
              </w:rPr>
            </w:pPr>
          </w:p>
        </w:tc>
        <w:tc>
          <w:tcPr>
            <w:tcW w:w="1965" w:type="dxa"/>
            <w:vAlign w:val="center"/>
          </w:tcPr>
          <w:p w14:paraId="72388113">
            <w:pPr>
              <w:spacing w:line="360" w:lineRule="auto"/>
              <w:jc w:val="center"/>
              <w:rPr>
                <w:rFonts w:ascii="宋体" w:hAnsi="宋体"/>
                <w:color w:val="auto"/>
                <w:sz w:val="24"/>
                <w:highlight w:val="none"/>
              </w:rPr>
            </w:pPr>
          </w:p>
        </w:tc>
        <w:tc>
          <w:tcPr>
            <w:tcW w:w="1274" w:type="dxa"/>
            <w:vAlign w:val="center"/>
          </w:tcPr>
          <w:p w14:paraId="14D4B7EB">
            <w:pPr>
              <w:spacing w:line="360" w:lineRule="auto"/>
              <w:jc w:val="center"/>
              <w:rPr>
                <w:rFonts w:ascii="宋体" w:hAnsi="宋体"/>
                <w:color w:val="auto"/>
                <w:sz w:val="24"/>
                <w:highlight w:val="none"/>
              </w:rPr>
            </w:pPr>
          </w:p>
        </w:tc>
      </w:tr>
      <w:tr w14:paraId="34060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5965C97">
            <w:pPr>
              <w:spacing w:line="360" w:lineRule="auto"/>
              <w:jc w:val="center"/>
              <w:rPr>
                <w:rFonts w:ascii="宋体" w:hAnsi="宋体"/>
                <w:color w:val="auto"/>
                <w:sz w:val="24"/>
                <w:highlight w:val="none"/>
              </w:rPr>
            </w:pPr>
            <w:r>
              <w:rPr>
                <w:rFonts w:hint="eastAsia" w:ascii="宋体" w:hAnsi="宋体"/>
                <w:color w:val="auto"/>
                <w:sz w:val="24"/>
                <w:highlight w:val="none"/>
              </w:rPr>
              <w:t>2</w:t>
            </w:r>
          </w:p>
        </w:tc>
        <w:tc>
          <w:tcPr>
            <w:tcW w:w="1356" w:type="dxa"/>
            <w:vAlign w:val="center"/>
          </w:tcPr>
          <w:p w14:paraId="468CE75D">
            <w:pPr>
              <w:spacing w:line="360" w:lineRule="auto"/>
              <w:jc w:val="center"/>
              <w:rPr>
                <w:rFonts w:ascii="宋体" w:hAnsi="宋体"/>
                <w:color w:val="auto"/>
                <w:sz w:val="24"/>
                <w:highlight w:val="none"/>
              </w:rPr>
            </w:pPr>
          </w:p>
        </w:tc>
        <w:tc>
          <w:tcPr>
            <w:tcW w:w="1327" w:type="dxa"/>
          </w:tcPr>
          <w:p w14:paraId="7158395F">
            <w:pPr>
              <w:spacing w:line="360" w:lineRule="auto"/>
              <w:jc w:val="center"/>
              <w:rPr>
                <w:rFonts w:ascii="宋体" w:hAnsi="宋体"/>
                <w:color w:val="auto"/>
                <w:sz w:val="24"/>
                <w:highlight w:val="none"/>
              </w:rPr>
            </w:pPr>
          </w:p>
        </w:tc>
        <w:tc>
          <w:tcPr>
            <w:tcW w:w="1347" w:type="dxa"/>
            <w:vAlign w:val="center"/>
          </w:tcPr>
          <w:p w14:paraId="0187BD35">
            <w:pPr>
              <w:spacing w:line="360" w:lineRule="auto"/>
              <w:jc w:val="center"/>
              <w:rPr>
                <w:rFonts w:ascii="宋体" w:hAnsi="宋体"/>
                <w:color w:val="auto"/>
                <w:sz w:val="24"/>
                <w:highlight w:val="none"/>
              </w:rPr>
            </w:pPr>
          </w:p>
        </w:tc>
        <w:tc>
          <w:tcPr>
            <w:tcW w:w="1965" w:type="dxa"/>
            <w:vAlign w:val="center"/>
          </w:tcPr>
          <w:p w14:paraId="2D12AD97">
            <w:pPr>
              <w:spacing w:line="360" w:lineRule="auto"/>
              <w:jc w:val="center"/>
              <w:rPr>
                <w:rFonts w:ascii="宋体" w:hAnsi="宋体"/>
                <w:color w:val="auto"/>
                <w:sz w:val="24"/>
                <w:highlight w:val="none"/>
              </w:rPr>
            </w:pPr>
          </w:p>
        </w:tc>
        <w:tc>
          <w:tcPr>
            <w:tcW w:w="1274" w:type="dxa"/>
            <w:vAlign w:val="center"/>
          </w:tcPr>
          <w:p w14:paraId="6D5A0C5E">
            <w:pPr>
              <w:spacing w:line="360" w:lineRule="auto"/>
              <w:jc w:val="center"/>
              <w:rPr>
                <w:rFonts w:ascii="宋体" w:hAnsi="宋体"/>
                <w:color w:val="auto"/>
                <w:sz w:val="24"/>
                <w:highlight w:val="none"/>
              </w:rPr>
            </w:pPr>
          </w:p>
        </w:tc>
      </w:tr>
      <w:tr w14:paraId="0628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D65A40E">
            <w:pPr>
              <w:spacing w:line="360" w:lineRule="auto"/>
              <w:jc w:val="center"/>
              <w:rPr>
                <w:rFonts w:ascii="宋体" w:hAnsi="宋体"/>
                <w:color w:val="auto"/>
                <w:sz w:val="24"/>
                <w:highlight w:val="none"/>
              </w:rPr>
            </w:pPr>
            <w:r>
              <w:rPr>
                <w:rFonts w:hint="eastAsia" w:ascii="宋体" w:hAnsi="宋体"/>
                <w:color w:val="auto"/>
                <w:sz w:val="24"/>
                <w:highlight w:val="none"/>
              </w:rPr>
              <w:t>3</w:t>
            </w:r>
          </w:p>
        </w:tc>
        <w:tc>
          <w:tcPr>
            <w:tcW w:w="1356" w:type="dxa"/>
            <w:vAlign w:val="center"/>
          </w:tcPr>
          <w:p w14:paraId="1F34C5C7">
            <w:pPr>
              <w:spacing w:line="360" w:lineRule="auto"/>
              <w:jc w:val="center"/>
              <w:rPr>
                <w:rFonts w:ascii="宋体" w:hAnsi="宋体"/>
                <w:color w:val="auto"/>
                <w:sz w:val="24"/>
                <w:highlight w:val="none"/>
              </w:rPr>
            </w:pPr>
          </w:p>
        </w:tc>
        <w:tc>
          <w:tcPr>
            <w:tcW w:w="1327" w:type="dxa"/>
          </w:tcPr>
          <w:p w14:paraId="565D304C">
            <w:pPr>
              <w:spacing w:line="360" w:lineRule="auto"/>
              <w:jc w:val="center"/>
              <w:rPr>
                <w:rFonts w:ascii="宋体" w:hAnsi="宋体"/>
                <w:color w:val="auto"/>
                <w:sz w:val="24"/>
                <w:highlight w:val="none"/>
              </w:rPr>
            </w:pPr>
          </w:p>
        </w:tc>
        <w:tc>
          <w:tcPr>
            <w:tcW w:w="1347" w:type="dxa"/>
            <w:vAlign w:val="center"/>
          </w:tcPr>
          <w:p w14:paraId="0F9F2D76">
            <w:pPr>
              <w:spacing w:line="360" w:lineRule="auto"/>
              <w:jc w:val="center"/>
              <w:rPr>
                <w:rFonts w:ascii="宋体" w:hAnsi="宋体"/>
                <w:color w:val="auto"/>
                <w:sz w:val="24"/>
                <w:highlight w:val="none"/>
              </w:rPr>
            </w:pPr>
          </w:p>
        </w:tc>
        <w:tc>
          <w:tcPr>
            <w:tcW w:w="1965" w:type="dxa"/>
            <w:vAlign w:val="center"/>
          </w:tcPr>
          <w:p w14:paraId="474322D2">
            <w:pPr>
              <w:spacing w:line="360" w:lineRule="auto"/>
              <w:jc w:val="center"/>
              <w:rPr>
                <w:rFonts w:ascii="宋体" w:hAnsi="宋体"/>
                <w:color w:val="auto"/>
                <w:sz w:val="24"/>
                <w:highlight w:val="none"/>
              </w:rPr>
            </w:pPr>
          </w:p>
        </w:tc>
        <w:tc>
          <w:tcPr>
            <w:tcW w:w="1274" w:type="dxa"/>
            <w:vAlign w:val="center"/>
          </w:tcPr>
          <w:p w14:paraId="129FFE4E">
            <w:pPr>
              <w:spacing w:line="360" w:lineRule="auto"/>
              <w:jc w:val="center"/>
              <w:rPr>
                <w:rFonts w:ascii="宋体" w:hAnsi="宋体"/>
                <w:color w:val="auto"/>
                <w:sz w:val="24"/>
                <w:highlight w:val="none"/>
              </w:rPr>
            </w:pPr>
          </w:p>
        </w:tc>
      </w:tr>
      <w:tr w14:paraId="63DE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0FA0532">
            <w:pPr>
              <w:spacing w:line="360" w:lineRule="auto"/>
              <w:jc w:val="center"/>
              <w:rPr>
                <w:rFonts w:ascii="宋体" w:hAnsi="宋体"/>
                <w:color w:val="auto"/>
                <w:sz w:val="24"/>
                <w:highlight w:val="none"/>
              </w:rPr>
            </w:pPr>
            <w:r>
              <w:rPr>
                <w:rFonts w:hint="eastAsia" w:ascii="宋体" w:hAnsi="宋体"/>
                <w:color w:val="auto"/>
                <w:sz w:val="24"/>
                <w:highlight w:val="none"/>
              </w:rPr>
              <w:t>4</w:t>
            </w:r>
          </w:p>
        </w:tc>
        <w:tc>
          <w:tcPr>
            <w:tcW w:w="1356" w:type="dxa"/>
            <w:vAlign w:val="center"/>
          </w:tcPr>
          <w:p w14:paraId="4C0CD480">
            <w:pPr>
              <w:spacing w:line="360" w:lineRule="auto"/>
              <w:jc w:val="center"/>
              <w:rPr>
                <w:rFonts w:ascii="宋体" w:hAnsi="宋体"/>
                <w:color w:val="auto"/>
                <w:sz w:val="24"/>
                <w:highlight w:val="none"/>
              </w:rPr>
            </w:pPr>
          </w:p>
        </w:tc>
        <w:tc>
          <w:tcPr>
            <w:tcW w:w="1327" w:type="dxa"/>
          </w:tcPr>
          <w:p w14:paraId="0C3EBAA4">
            <w:pPr>
              <w:spacing w:line="360" w:lineRule="auto"/>
              <w:jc w:val="center"/>
              <w:rPr>
                <w:rFonts w:ascii="宋体" w:hAnsi="宋体"/>
                <w:color w:val="auto"/>
                <w:sz w:val="24"/>
                <w:highlight w:val="none"/>
              </w:rPr>
            </w:pPr>
          </w:p>
        </w:tc>
        <w:tc>
          <w:tcPr>
            <w:tcW w:w="1347" w:type="dxa"/>
            <w:vAlign w:val="center"/>
          </w:tcPr>
          <w:p w14:paraId="78D605E6">
            <w:pPr>
              <w:spacing w:line="360" w:lineRule="auto"/>
              <w:jc w:val="center"/>
              <w:rPr>
                <w:rFonts w:ascii="宋体" w:hAnsi="宋体"/>
                <w:color w:val="auto"/>
                <w:sz w:val="24"/>
                <w:highlight w:val="none"/>
              </w:rPr>
            </w:pPr>
          </w:p>
        </w:tc>
        <w:tc>
          <w:tcPr>
            <w:tcW w:w="1965" w:type="dxa"/>
            <w:vAlign w:val="center"/>
          </w:tcPr>
          <w:p w14:paraId="78AD9B5E">
            <w:pPr>
              <w:spacing w:line="360" w:lineRule="auto"/>
              <w:jc w:val="center"/>
              <w:rPr>
                <w:rFonts w:ascii="宋体" w:hAnsi="宋体"/>
                <w:color w:val="auto"/>
                <w:sz w:val="24"/>
                <w:highlight w:val="none"/>
              </w:rPr>
            </w:pPr>
          </w:p>
        </w:tc>
        <w:tc>
          <w:tcPr>
            <w:tcW w:w="1274" w:type="dxa"/>
            <w:vAlign w:val="center"/>
          </w:tcPr>
          <w:p w14:paraId="53B06ECD">
            <w:pPr>
              <w:spacing w:line="360" w:lineRule="auto"/>
              <w:jc w:val="center"/>
              <w:rPr>
                <w:rFonts w:ascii="宋体" w:hAnsi="宋体"/>
                <w:color w:val="auto"/>
                <w:sz w:val="24"/>
                <w:highlight w:val="none"/>
              </w:rPr>
            </w:pPr>
          </w:p>
        </w:tc>
      </w:tr>
      <w:tr w14:paraId="306B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07A7996">
            <w:pPr>
              <w:spacing w:line="360" w:lineRule="auto"/>
              <w:jc w:val="center"/>
              <w:rPr>
                <w:rFonts w:ascii="宋体" w:hAnsi="宋体"/>
                <w:color w:val="auto"/>
                <w:sz w:val="24"/>
                <w:highlight w:val="none"/>
              </w:rPr>
            </w:pPr>
            <w:r>
              <w:rPr>
                <w:rFonts w:hint="eastAsia" w:ascii="宋体" w:hAnsi="宋体"/>
                <w:color w:val="auto"/>
                <w:sz w:val="24"/>
                <w:highlight w:val="none"/>
              </w:rPr>
              <w:t>5</w:t>
            </w:r>
          </w:p>
        </w:tc>
        <w:tc>
          <w:tcPr>
            <w:tcW w:w="1356" w:type="dxa"/>
            <w:vAlign w:val="center"/>
          </w:tcPr>
          <w:p w14:paraId="7D139D67">
            <w:pPr>
              <w:spacing w:line="360" w:lineRule="auto"/>
              <w:jc w:val="center"/>
              <w:rPr>
                <w:rFonts w:ascii="宋体" w:hAnsi="宋体"/>
                <w:color w:val="auto"/>
                <w:sz w:val="24"/>
                <w:highlight w:val="none"/>
              </w:rPr>
            </w:pPr>
          </w:p>
        </w:tc>
        <w:tc>
          <w:tcPr>
            <w:tcW w:w="1327" w:type="dxa"/>
          </w:tcPr>
          <w:p w14:paraId="3A2B9A48">
            <w:pPr>
              <w:spacing w:line="360" w:lineRule="auto"/>
              <w:jc w:val="center"/>
              <w:rPr>
                <w:rFonts w:ascii="宋体" w:hAnsi="宋体"/>
                <w:color w:val="auto"/>
                <w:sz w:val="24"/>
                <w:highlight w:val="none"/>
              </w:rPr>
            </w:pPr>
          </w:p>
        </w:tc>
        <w:tc>
          <w:tcPr>
            <w:tcW w:w="1347" w:type="dxa"/>
            <w:vAlign w:val="center"/>
          </w:tcPr>
          <w:p w14:paraId="01A8F184">
            <w:pPr>
              <w:spacing w:line="360" w:lineRule="auto"/>
              <w:jc w:val="center"/>
              <w:rPr>
                <w:rFonts w:ascii="宋体" w:hAnsi="宋体"/>
                <w:color w:val="auto"/>
                <w:sz w:val="24"/>
                <w:highlight w:val="none"/>
              </w:rPr>
            </w:pPr>
          </w:p>
        </w:tc>
        <w:tc>
          <w:tcPr>
            <w:tcW w:w="1965" w:type="dxa"/>
            <w:vAlign w:val="center"/>
          </w:tcPr>
          <w:p w14:paraId="0DF7EB1B">
            <w:pPr>
              <w:spacing w:line="360" w:lineRule="auto"/>
              <w:jc w:val="center"/>
              <w:rPr>
                <w:rFonts w:ascii="宋体" w:hAnsi="宋体"/>
                <w:color w:val="auto"/>
                <w:sz w:val="24"/>
                <w:highlight w:val="none"/>
              </w:rPr>
            </w:pPr>
          </w:p>
        </w:tc>
        <w:tc>
          <w:tcPr>
            <w:tcW w:w="1274" w:type="dxa"/>
            <w:vAlign w:val="center"/>
          </w:tcPr>
          <w:p w14:paraId="67D2D10C">
            <w:pPr>
              <w:spacing w:line="360" w:lineRule="auto"/>
              <w:jc w:val="center"/>
              <w:rPr>
                <w:rFonts w:ascii="宋体" w:hAnsi="宋体"/>
                <w:color w:val="auto"/>
                <w:sz w:val="24"/>
                <w:highlight w:val="none"/>
              </w:rPr>
            </w:pPr>
          </w:p>
        </w:tc>
      </w:tr>
      <w:tr w14:paraId="5554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ED5CECD">
            <w:pPr>
              <w:spacing w:line="360" w:lineRule="auto"/>
              <w:jc w:val="center"/>
              <w:rPr>
                <w:rFonts w:ascii="宋体" w:hAnsi="宋体"/>
                <w:color w:val="auto"/>
                <w:sz w:val="24"/>
                <w:highlight w:val="none"/>
              </w:rPr>
            </w:pPr>
            <w:r>
              <w:rPr>
                <w:rFonts w:hint="eastAsia" w:ascii="宋体" w:hAnsi="宋体"/>
                <w:color w:val="auto"/>
                <w:sz w:val="24"/>
                <w:highlight w:val="none"/>
              </w:rPr>
              <w:t>6</w:t>
            </w:r>
          </w:p>
        </w:tc>
        <w:tc>
          <w:tcPr>
            <w:tcW w:w="1356" w:type="dxa"/>
            <w:vAlign w:val="center"/>
          </w:tcPr>
          <w:p w14:paraId="758779A5">
            <w:pPr>
              <w:spacing w:line="360" w:lineRule="auto"/>
              <w:jc w:val="center"/>
              <w:rPr>
                <w:rFonts w:ascii="宋体" w:hAnsi="宋体"/>
                <w:color w:val="auto"/>
                <w:sz w:val="24"/>
                <w:highlight w:val="none"/>
              </w:rPr>
            </w:pPr>
          </w:p>
        </w:tc>
        <w:tc>
          <w:tcPr>
            <w:tcW w:w="1327" w:type="dxa"/>
          </w:tcPr>
          <w:p w14:paraId="7EF5602A">
            <w:pPr>
              <w:spacing w:line="360" w:lineRule="auto"/>
              <w:jc w:val="center"/>
              <w:rPr>
                <w:rFonts w:ascii="宋体" w:hAnsi="宋体"/>
                <w:color w:val="auto"/>
                <w:sz w:val="24"/>
                <w:highlight w:val="none"/>
              </w:rPr>
            </w:pPr>
          </w:p>
        </w:tc>
        <w:tc>
          <w:tcPr>
            <w:tcW w:w="1347" w:type="dxa"/>
            <w:vAlign w:val="center"/>
          </w:tcPr>
          <w:p w14:paraId="4830C2BC">
            <w:pPr>
              <w:spacing w:line="360" w:lineRule="auto"/>
              <w:jc w:val="center"/>
              <w:rPr>
                <w:rFonts w:ascii="宋体" w:hAnsi="宋体"/>
                <w:color w:val="auto"/>
                <w:sz w:val="24"/>
                <w:highlight w:val="none"/>
              </w:rPr>
            </w:pPr>
          </w:p>
        </w:tc>
        <w:tc>
          <w:tcPr>
            <w:tcW w:w="1965" w:type="dxa"/>
            <w:vAlign w:val="center"/>
          </w:tcPr>
          <w:p w14:paraId="04C10C55">
            <w:pPr>
              <w:spacing w:line="360" w:lineRule="auto"/>
              <w:jc w:val="center"/>
              <w:rPr>
                <w:rFonts w:ascii="宋体" w:hAnsi="宋体"/>
                <w:color w:val="auto"/>
                <w:sz w:val="24"/>
                <w:highlight w:val="none"/>
              </w:rPr>
            </w:pPr>
          </w:p>
        </w:tc>
        <w:tc>
          <w:tcPr>
            <w:tcW w:w="1274" w:type="dxa"/>
            <w:vAlign w:val="center"/>
          </w:tcPr>
          <w:p w14:paraId="479764EE">
            <w:pPr>
              <w:spacing w:line="360" w:lineRule="auto"/>
              <w:jc w:val="center"/>
              <w:rPr>
                <w:rFonts w:ascii="宋体" w:hAnsi="宋体"/>
                <w:color w:val="auto"/>
                <w:sz w:val="24"/>
                <w:highlight w:val="none"/>
              </w:rPr>
            </w:pPr>
          </w:p>
        </w:tc>
      </w:tr>
      <w:tr w14:paraId="28D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F284C5B">
            <w:pPr>
              <w:spacing w:line="360" w:lineRule="auto"/>
              <w:jc w:val="center"/>
              <w:rPr>
                <w:rFonts w:ascii="宋体" w:hAnsi="宋体"/>
                <w:color w:val="auto"/>
                <w:sz w:val="24"/>
                <w:highlight w:val="none"/>
              </w:rPr>
            </w:pPr>
            <w:r>
              <w:rPr>
                <w:rFonts w:hint="eastAsia" w:ascii="宋体" w:hAnsi="宋体"/>
                <w:color w:val="auto"/>
                <w:sz w:val="24"/>
                <w:highlight w:val="none"/>
              </w:rPr>
              <w:t>……</w:t>
            </w:r>
          </w:p>
        </w:tc>
        <w:tc>
          <w:tcPr>
            <w:tcW w:w="1356" w:type="dxa"/>
            <w:vAlign w:val="center"/>
          </w:tcPr>
          <w:p w14:paraId="7548227A">
            <w:pPr>
              <w:spacing w:line="360" w:lineRule="auto"/>
              <w:jc w:val="center"/>
              <w:rPr>
                <w:rFonts w:ascii="宋体" w:hAnsi="宋体"/>
                <w:color w:val="auto"/>
                <w:sz w:val="24"/>
                <w:highlight w:val="none"/>
              </w:rPr>
            </w:pPr>
          </w:p>
        </w:tc>
        <w:tc>
          <w:tcPr>
            <w:tcW w:w="1327" w:type="dxa"/>
          </w:tcPr>
          <w:p w14:paraId="371DB7B7">
            <w:pPr>
              <w:spacing w:line="360" w:lineRule="auto"/>
              <w:jc w:val="center"/>
              <w:rPr>
                <w:rFonts w:ascii="宋体" w:hAnsi="宋体"/>
                <w:color w:val="auto"/>
                <w:sz w:val="24"/>
                <w:highlight w:val="none"/>
              </w:rPr>
            </w:pPr>
          </w:p>
        </w:tc>
        <w:tc>
          <w:tcPr>
            <w:tcW w:w="1347" w:type="dxa"/>
            <w:vAlign w:val="center"/>
          </w:tcPr>
          <w:p w14:paraId="16C68D1D">
            <w:pPr>
              <w:spacing w:line="360" w:lineRule="auto"/>
              <w:jc w:val="center"/>
              <w:rPr>
                <w:rFonts w:ascii="宋体" w:hAnsi="宋体"/>
                <w:color w:val="auto"/>
                <w:sz w:val="24"/>
                <w:highlight w:val="none"/>
              </w:rPr>
            </w:pPr>
          </w:p>
        </w:tc>
        <w:tc>
          <w:tcPr>
            <w:tcW w:w="1965" w:type="dxa"/>
            <w:vAlign w:val="center"/>
          </w:tcPr>
          <w:p w14:paraId="499BA76B">
            <w:pPr>
              <w:spacing w:line="360" w:lineRule="auto"/>
              <w:jc w:val="center"/>
              <w:rPr>
                <w:rFonts w:ascii="宋体" w:hAnsi="宋体"/>
                <w:color w:val="auto"/>
                <w:sz w:val="24"/>
                <w:highlight w:val="none"/>
              </w:rPr>
            </w:pPr>
          </w:p>
        </w:tc>
        <w:tc>
          <w:tcPr>
            <w:tcW w:w="1274" w:type="dxa"/>
            <w:vAlign w:val="center"/>
          </w:tcPr>
          <w:p w14:paraId="4ABC19C5">
            <w:pPr>
              <w:spacing w:line="360" w:lineRule="auto"/>
              <w:jc w:val="center"/>
              <w:rPr>
                <w:rFonts w:ascii="宋体" w:hAnsi="宋体"/>
                <w:color w:val="auto"/>
                <w:sz w:val="24"/>
                <w:highlight w:val="none"/>
              </w:rPr>
            </w:pPr>
          </w:p>
        </w:tc>
      </w:tr>
      <w:tr w14:paraId="3EEE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D366692">
            <w:pPr>
              <w:spacing w:line="360" w:lineRule="auto"/>
              <w:jc w:val="center"/>
              <w:rPr>
                <w:rFonts w:ascii="宋体" w:hAnsi="宋体"/>
                <w:color w:val="auto"/>
                <w:sz w:val="24"/>
                <w:highlight w:val="none"/>
              </w:rPr>
            </w:pPr>
          </w:p>
        </w:tc>
        <w:tc>
          <w:tcPr>
            <w:tcW w:w="1356" w:type="dxa"/>
            <w:vAlign w:val="center"/>
          </w:tcPr>
          <w:p w14:paraId="7F79118B">
            <w:pPr>
              <w:spacing w:line="360" w:lineRule="auto"/>
              <w:jc w:val="center"/>
              <w:rPr>
                <w:rFonts w:ascii="宋体" w:hAnsi="宋体"/>
                <w:color w:val="auto"/>
                <w:sz w:val="24"/>
                <w:highlight w:val="none"/>
              </w:rPr>
            </w:pPr>
          </w:p>
        </w:tc>
        <w:tc>
          <w:tcPr>
            <w:tcW w:w="1327" w:type="dxa"/>
          </w:tcPr>
          <w:p w14:paraId="6C954660">
            <w:pPr>
              <w:spacing w:line="360" w:lineRule="auto"/>
              <w:jc w:val="center"/>
              <w:rPr>
                <w:rFonts w:ascii="宋体" w:hAnsi="宋体"/>
                <w:color w:val="auto"/>
                <w:sz w:val="24"/>
                <w:highlight w:val="none"/>
              </w:rPr>
            </w:pPr>
          </w:p>
        </w:tc>
        <w:tc>
          <w:tcPr>
            <w:tcW w:w="1347" w:type="dxa"/>
            <w:vAlign w:val="center"/>
          </w:tcPr>
          <w:p w14:paraId="1927D995">
            <w:pPr>
              <w:spacing w:line="360" w:lineRule="auto"/>
              <w:jc w:val="center"/>
              <w:rPr>
                <w:rFonts w:ascii="宋体" w:hAnsi="宋体"/>
                <w:color w:val="auto"/>
                <w:sz w:val="24"/>
                <w:highlight w:val="none"/>
              </w:rPr>
            </w:pPr>
          </w:p>
        </w:tc>
        <w:tc>
          <w:tcPr>
            <w:tcW w:w="1965" w:type="dxa"/>
            <w:vAlign w:val="center"/>
          </w:tcPr>
          <w:p w14:paraId="5AEEAA93">
            <w:pPr>
              <w:spacing w:line="360" w:lineRule="auto"/>
              <w:jc w:val="center"/>
              <w:rPr>
                <w:rFonts w:ascii="宋体" w:hAnsi="宋体"/>
                <w:color w:val="auto"/>
                <w:sz w:val="24"/>
                <w:highlight w:val="none"/>
              </w:rPr>
            </w:pPr>
          </w:p>
        </w:tc>
        <w:tc>
          <w:tcPr>
            <w:tcW w:w="1274" w:type="dxa"/>
            <w:vAlign w:val="center"/>
          </w:tcPr>
          <w:p w14:paraId="60D33CF8">
            <w:pPr>
              <w:spacing w:line="360" w:lineRule="auto"/>
              <w:jc w:val="center"/>
              <w:rPr>
                <w:rFonts w:ascii="宋体" w:hAnsi="宋体"/>
                <w:color w:val="auto"/>
                <w:sz w:val="24"/>
                <w:highlight w:val="none"/>
              </w:rPr>
            </w:pPr>
          </w:p>
        </w:tc>
      </w:tr>
      <w:tr w14:paraId="7101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BC9E91A">
            <w:pPr>
              <w:spacing w:line="360" w:lineRule="auto"/>
              <w:jc w:val="center"/>
              <w:rPr>
                <w:rFonts w:ascii="宋体" w:hAnsi="宋体"/>
                <w:color w:val="auto"/>
                <w:sz w:val="24"/>
                <w:highlight w:val="none"/>
              </w:rPr>
            </w:pPr>
          </w:p>
        </w:tc>
        <w:tc>
          <w:tcPr>
            <w:tcW w:w="1356" w:type="dxa"/>
            <w:vAlign w:val="center"/>
          </w:tcPr>
          <w:p w14:paraId="30829C2B">
            <w:pPr>
              <w:spacing w:line="360" w:lineRule="auto"/>
              <w:jc w:val="center"/>
              <w:rPr>
                <w:rFonts w:ascii="宋体" w:hAnsi="宋体"/>
                <w:color w:val="auto"/>
                <w:sz w:val="24"/>
                <w:highlight w:val="none"/>
              </w:rPr>
            </w:pPr>
          </w:p>
        </w:tc>
        <w:tc>
          <w:tcPr>
            <w:tcW w:w="1327" w:type="dxa"/>
          </w:tcPr>
          <w:p w14:paraId="1AA8609C">
            <w:pPr>
              <w:spacing w:line="360" w:lineRule="auto"/>
              <w:jc w:val="center"/>
              <w:rPr>
                <w:rFonts w:ascii="宋体" w:hAnsi="宋体"/>
                <w:color w:val="auto"/>
                <w:sz w:val="24"/>
                <w:highlight w:val="none"/>
              </w:rPr>
            </w:pPr>
          </w:p>
        </w:tc>
        <w:tc>
          <w:tcPr>
            <w:tcW w:w="1347" w:type="dxa"/>
            <w:vAlign w:val="center"/>
          </w:tcPr>
          <w:p w14:paraId="338DCBD5">
            <w:pPr>
              <w:spacing w:line="360" w:lineRule="auto"/>
              <w:jc w:val="center"/>
              <w:rPr>
                <w:rFonts w:ascii="宋体" w:hAnsi="宋体"/>
                <w:color w:val="auto"/>
                <w:sz w:val="24"/>
                <w:highlight w:val="none"/>
              </w:rPr>
            </w:pPr>
          </w:p>
        </w:tc>
        <w:tc>
          <w:tcPr>
            <w:tcW w:w="1965" w:type="dxa"/>
            <w:vAlign w:val="center"/>
          </w:tcPr>
          <w:p w14:paraId="57D402F8">
            <w:pPr>
              <w:spacing w:line="360" w:lineRule="auto"/>
              <w:jc w:val="center"/>
              <w:rPr>
                <w:rFonts w:ascii="宋体" w:hAnsi="宋体"/>
                <w:color w:val="auto"/>
                <w:sz w:val="24"/>
                <w:highlight w:val="none"/>
              </w:rPr>
            </w:pPr>
          </w:p>
        </w:tc>
        <w:tc>
          <w:tcPr>
            <w:tcW w:w="1274" w:type="dxa"/>
            <w:vAlign w:val="center"/>
          </w:tcPr>
          <w:p w14:paraId="2F867C05">
            <w:pPr>
              <w:spacing w:line="360" w:lineRule="auto"/>
              <w:jc w:val="center"/>
              <w:rPr>
                <w:rFonts w:ascii="宋体" w:hAnsi="宋体"/>
                <w:color w:val="auto"/>
                <w:sz w:val="24"/>
                <w:highlight w:val="none"/>
              </w:rPr>
            </w:pPr>
          </w:p>
        </w:tc>
      </w:tr>
    </w:tbl>
    <w:p w14:paraId="77131CBF">
      <w:pPr>
        <w:spacing w:line="440" w:lineRule="exact"/>
        <w:ind w:firstLine="240" w:firstLineChars="100"/>
        <w:rPr>
          <w:rFonts w:ascii="宋体" w:hAnsi="宋体"/>
          <w:color w:val="auto"/>
          <w:sz w:val="24"/>
          <w:highlight w:val="none"/>
        </w:rPr>
      </w:pPr>
    </w:p>
    <w:p w14:paraId="04529F09">
      <w:pPr>
        <w:spacing w:line="440" w:lineRule="exact"/>
        <w:ind w:firstLine="240" w:firstLineChars="100"/>
        <w:rPr>
          <w:rFonts w:ascii="宋体" w:hAnsi="宋体"/>
          <w:color w:val="auto"/>
          <w:sz w:val="24"/>
          <w:highlight w:val="none"/>
        </w:rPr>
      </w:pPr>
      <w:r>
        <w:rPr>
          <w:rFonts w:ascii="宋体" w:hAnsi="宋体"/>
          <w:color w:val="auto"/>
          <w:sz w:val="24"/>
          <w:highlight w:val="none"/>
        </w:rPr>
        <w:t>附：</w:t>
      </w:r>
      <w:r>
        <w:rPr>
          <w:rFonts w:hint="eastAsia" w:ascii="宋体" w:hAnsi="宋体"/>
          <w:color w:val="auto"/>
          <w:sz w:val="24"/>
          <w:highlight w:val="none"/>
        </w:rPr>
        <w:t>按照招标文件要求提供相应证明材料</w:t>
      </w:r>
    </w:p>
    <w:p w14:paraId="3A2E9F93">
      <w:pPr>
        <w:spacing w:line="500" w:lineRule="exact"/>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 xml:space="preserve">（单位盖章）： </w:t>
      </w:r>
    </w:p>
    <w:p w14:paraId="57343E88">
      <w:pPr>
        <w:spacing w:line="500" w:lineRule="exact"/>
        <w:rPr>
          <w:rFonts w:ascii="宋体" w:hAnsi="宋体"/>
          <w:color w:val="auto"/>
          <w:sz w:val="24"/>
          <w:highlight w:val="none"/>
        </w:rPr>
      </w:pPr>
      <w:r>
        <w:rPr>
          <w:rFonts w:hint="eastAsia" w:ascii="宋体" w:hAnsi="宋体"/>
          <w:color w:val="auto"/>
          <w:sz w:val="24"/>
          <w:highlight w:val="none"/>
        </w:rPr>
        <w:t>法定代表人或代理人（</w:t>
      </w:r>
      <w:r>
        <w:rPr>
          <w:rFonts w:ascii="宋体" w:hAnsi="宋体"/>
          <w:color w:val="auto"/>
          <w:sz w:val="24"/>
          <w:highlight w:val="none"/>
        </w:rPr>
        <w:t>签字或盖章</w:t>
      </w:r>
      <w:r>
        <w:rPr>
          <w:rFonts w:hint="eastAsia" w:ascii="宋体" w:hAnsi="宋体"/>
          <w:color w:val="auto"/>
          <w:sz w:val="24"/>
          <w:highlight w:val="none"/>
        </w:rPr>
        <w:t>）：</w:t>
      </w:r>
    </w:p>
    <w:p w14:paraId="1FC09BAA">
      <w:pPr>
        <w:rPr>
          <w:color w:val="auto"/>
          <w:highlight w:val="none"/>
        </w:rPr>
      </w:pPr>
      <w:r>
        <w:rPr>
          <w:rFonts w:hint="eastAsia" w:ascii="宋体" w:hAnsi="宋体"/>
          <w:color w:val="auto"/>
          <w:sz w:val="24"/>
          <w:szCs w:val="24"/>
          <w:highlight w:val="none"/>
        </w:rPr>
        <w:t>日期：</w:t>
      </w:r>
      <w:r>
        <w:rPr>
          <w:rFonts w:ascii="宋体" w:hAnsi="宋体"/>
          <w:color w:val="auto"/>
          <w:sz w:val="24"/>
          <w:szCs w:val="24"/>
          <w:highlight w:val="none"/>
        </w:rPr>
        <w:t xml:space="preserve">         </w:t>
      </w:r>
      <w:r>
        <w:rPr>
          <w:rFonts w:hint="eastAsia" w:ascii="宋体" w:hAnsi="宋体"/>
          <w:color w:val="auto"/>
          <w:sz w:val="24"/>
          <w:szCs w:val="24"/>
          <w:highlight w:val="none"/>
        </w:rPr>
        <w:t>年</w:t>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hint="eastAsia" w:ascii="宋体" w:hAnsi="宋体"/>
          <w:color w:val="auto"/>
          <w:sz w:val="24"/>
          <w:szCs w:val="24"/>
          <w:highlight w:val="none"/>
        </w:rPr>
        <w:t>日</w:t>
      </w:r>
    </w:p>
    <w:p w14:paraId="06ED5CF8">
      <w:pPr>
        <w:adjustRightInd w:val="0"/>
        <w:textAlignment w:val="baseline"/>
        <w:rPr>
          <w:rFonts w:ascii="宋体" w:hAnsi="宋体"/>
          <w:b/>
          <w:color w:val="auto"/>
          <w:sz w:val="32"/>
          <w:szCs w:val="32"/>
          <w:highlight w:val="none"/>
        </w:rPr>
      </w:pPr>
    </w:p>
    <w:p w14:paraId="34F5B21B">
      <w:pPr>
        <w:adjustRightInd w:val="0"/>
        <w:textAlignment w:val="baseline"/>
        <w:rPr>
          <w:rFonts w:ascii="宋体" w:hAnsi="宋体"/>
          <w:b/>
          <w:color w:val="auto"/>
          <w:sz w:val="32"/>
          <w:szCs w:val="32"/>
          <w:highlight w:val="none"/>
        </w:rPr>
      </w:pPr>
    </w:p>
    <w:p w14:paraId="13F15EA7">
      <w:pPr>
        <w:adjustRightInd w:val="0"/>
        <w:textAlignment w:val="baseline"/>
        <w:rPr>
          <w:rFonts w:ascii="宋体" w:hAnsi="宋体"/>
          <w:b/>
          <w:color w:val="auto"/>
          <w:sz w:val="32"/>
          <w:szCs w:val="32"/>
          <w:highlight w:val="none"/>
        </w:rPr>
      </w:pPr>
    </w:p>
    <w:p w14:paraId="640F6D30">
      <w:pPr>
        <w:adjustRightInd w:val="0"/>
        <w:textAlignment w:val="baseline"/>
        <w:rPr>
          <w:rFonts w:ascii="宋体" w:hAnsi="宋体"/>
          <w:b/>
          <w:color w:val="auto"/>
          <w:sz w:val="32"/>
          <w:szCs w:val="32"/>
          <w:highlight w:val="none"/>
        </w:rPr>
      </w:pPr>
    </w:p>
    <w:p w14:paraId="48BCB90A">
      <w:pPr>
        <w:pStyle w:val="21"/>
        <w:ind w:firstLine="420"/>
        <w:rPr>
          <w:color w:val="auto"/>
          <w:highlight w:val="none"/>
        </w:rPr>
      </w:pPr>
    </w:p>
    <w:p w14:paraId="63634C60">
      <w:pPr>
        <w:pStyle w:val="14"/>
        <w:ind w:firstLine="643"/>
        <w:rPr>
          <w:rFonts w:hAnsi="宋体"/>
          <w:b/>
          <w:color w:val="auto"/>
          <w:sz w:val="32"/>
          <w:szCs w:val="32"/>
          <w:highlight w:val="none"/>
        </w:rPr>
      </w:pPr>
    </w:p>
    <w:p w14:paraId="3CDA1799">
      <w:pPr>
        <w:pStyle w:val="3"/>
        <w:overflowPunct w:val="0"/>
        <w:spacing w:line="360" w:lineRule="auto"/>
        <w:ind w:firstLine="0"/>
        <w:rPr>
          <w:rFonts w:hint="eastAsia" w:ascii="宋体" w:hAnsi="宋体"/>
          <w:b/>
          <w:color w:val="auto"/>
          <w:sz w:val="32"/>
          <w:szCs w:val="32"/>
          <w:highlight w:val="none"/>
        </w:rPr>
      </w:pPr>
    </w:p>
    <w:p w14:paraId="5FEA20E2">
      <w:pPr>
        <w:pStyle w:val="3"/>
        <w:overflowPunct w:val="0"/>
        <w:spacing w:line="360" w:lineRule="auto"/>
        <w:ind w:firstLine="0"/>
        <w:rPr>
          <w:rFonts w:hint="eastAsia" w:ascii="宋体" w:hAnsi="宋体"/>
          <w:b/>
          <w:color w:val="auto"/>
          <w:sz w:val="32"/>
          <w:szCs w:val="32"/>
          <w:highlight w:val="none"/>
        </w:rPr>
      </w:pPr>
    </w:p>
    <w:p w14:paraId="144DD300">
      <w:pPr>
        <w:pStyle w:val="3"/>
        <w:overflowPunct w:val="0"/>
        <w:spacing w:line="360" w:lineRule="auto"/>
        <w:ind w:firstLine="0"/>
        <w:rPr>
          <w:rFonts w:hint="eastAsia" w:ascii="宋体" w:hAnsi="宋体"/>
          <w:b/>
          <w:color w:val="auto"/>
          <w:sz w:val="32"/>
          <w:szCs w:val="32"/>
          <w:highlight w:val="none"/>
        </w:rPr>
      </w:pPr>
    </w:p>
    <w:p w14:paraId="09BD25D1">
      <w:pPr>
        <w:pStyle w:val="3"/>
        <w:overflowPunct w:val="0"/>
        <w:spacing w:line="360" w:lineRule="auto"/>
        <w:ind w:firstLine="0"/>
        <w:rPr>
          <w:rFonts w:hint="eastAsia" w:ascii="宋体" w:hAnsi="宋体"/>
          <w:b/>
          <w:color w:val="auto"/>
          <w:sz w:val="32"/>
          <w:szCs w:val="32"/>
          <w:highlight w:val="none"/>
        </w:rPr>
      </w:pPr>
    </w:p>
    <w:p w14:paraId="7B170969">
      <w:pPr>
        <w:pStyle w:val="3"/>
        <w:overflowPunct w:val="0"/>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2</w:t>
      </w:r>
      <w:r>
        <w:rPr>
          <w:rFonts w:hint="eastAsia" w:ascii="宋体" w:hAnsi="宋体"/>
          <w:b/>
          <w:color w:val="auto"/>
          <w:sz w:val="32"/>
          <w:szCs w:val="32"/>
          <w:highlight w:val="none"/>
        </w:rPr>
        <w:t>、拟投入本项目的专业技术（服务）人员情况一览表</w:t>
      </w:r>
    </w:p>
    <w:p w14:paraId="51E548FB">
      <w:pPr>
        <w:spacing w:before="120" w:beforeLines="50" w:after="120" w:afterLines="50"/>
        <w:ind w:firstLine="1968" w:firstLineChars="700"/>
        <w:outlineLvl w:val="1"/>
        <w:rPr>
          <w:rFonts w:ascii="宋体" w:hAnsi="宋体"/>
          <w:b/>
          <w:color w:val="auto"/>
          <w:sz w:val="28"/>
          <w:szCs w:val="28"/>
          <w:highlight w:val="none"/>
        </w:rPr>
      </w:pPr>
      <w:r>
        <w:rPr>
          <w:rFonts w:hint="eastAsia" w:ascii="宋体" w:hAnsi="宋体"/>
          <w:b/>
          <w:color w:val="auto"/>
          <w:sz w:val="28"/>
          <w:szCs w:val="28"/>
          <w:highlight w:val="none"/>
        </w:rPr>
        <w:t>拟投入本项目的专业技术（服务）人员情况一览表</w:t>
      </w:r>
    </w:p>
    <w:tbl>
      <w:tblPr>
        <w:tblStyle w:val="15"/>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157"/>
        <w:gridCol w:w="1308"/>
        <w:gridCol w:w="906"/>
        <w:gridCol w:w="713"/>
        <w:gridCol w:w="966"/>
        <w:gridCol w:w="2409"/>
        <w:gridCol w:w="1890"/>
      </w:tblGrid>
      <w:tr w14:paraId="3A72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vAlign w:val="center"/>
          </w:tcPr>
          <w:p w14:paraId="63056002">
            <w:pPr>
              <w:jc w:val="center"/>
              <w:rPr>
                <w:rFonts w:ascii="宋体" w:hAnsi="宋体"/>
                <w:b/>
                <w:color w:val="auto"/>
                <w:sz w:val="24"/>
                <w:highlight w:val="none"/>
              </w:rPr>
            </w:pPr>
            <w:r>
              <w:rPr>
                <w:rFonts w:hint="eastAsia" w:ascii="宋体" w:hAnsi="宋体"/>
                <w:b/>
                <w:color w:val="auto"/>
                <w:sz w:val="24"/>
                <w:highlight w:val="none"/>
              </w:rPr>
              <w:t>序号</w:t>
            </w:r>
          </w:p>
        </w:tc>
        <w:tc>
          <w:tcPr>
            <w:tcW w:w="1157" w:type="dxa"/>
            <w:tcBorders>
              <w:top w:val="single" w:color="000000" w:sz="2" w:space="0"/>
              <w:left w:val="single" w:color="auto" w:sz="4" w:space="0"/>
              <w:bottom w:val="single" w:color="000000" w:sz="2" w:space="0"/>
              <w:right w:val="single" w:color="auto" w:sz="4" w:space="0"/>
            </w:tcBorders>
            <w:vAlign w:val="center"/>
          </w:tcPr>
          <w:p w14:paraId="560884F7">
            <w:pPr>
              <w:jc w:val="center"/>
              <w:rPr>
                <w:rFonts w:ascii="宋体" w:hAnsi="宋体"/>
                <w:b/>
                <w:color w:val="auto"/>
                <w:sz w:val="24"/>
                <w:highlight w:val="none"/>
              </w:rPr>
            </w:pPr>
            <w:r>
              <w:rPr>
                <w:rFonts w:hint="eastAsia" w:ascii="宋体" w:hAnsi="宋体"/>
                <w:b/>
                <w:color w:val="auto"/>
                <w:sz w:val="24"/>
                <w:highlight w:val="none"/>
              </w:rPr>
              <w:t>岗位</w:t>
            </w:r>
          </w:p>
        </w:tc>
        <w:tc>
          <w:tcPr>
            <w:tcW w:w="1308" w:type="dxa"/>
            <w:tcBorders>
              <w:top w:val="single" w:color="000000" w:sz="2" w:space="0"/>
              <w:left w:val="single" w:color="auto" w:sz="4" w:space="0"/>
              <w:bottom w:val="single" w:color="000000" w:sz="2" w:space="0"/>
              <w:right w:val="single" w:color="000000" w:sz="2" w:space="0"/>
            </w:tcBorders>
            <w:vAlign w:val="center"/>
          </w:tcPr>
          <w:p w14:paraId="73818900">
            <w:pPr>
              <w:jc w:val="center"/>
              <w:rPr>
                <w:rFonts w:ascii="宋体" w:hAnsi="宋体"/>
                <w:b/>
                <w:color w:val="auto"/>
                <w:sz w:val="24"/>
                <w:highlight w:val="none"/>
              </w:rPr>
            </w:pPr>
            <w:r>
              <w:rPr>
                <w:rFonts w:hint="eastAsia" w:ascii="宋体" w:hAnsi="宋体"/>
                <w:b/>
                <w:color w:val="auto"/>
                <w:sz w:val="24"/>
                <w:highlight w:val="none"/>
              </w:rPr>
              <w:t>姓名</w:t>
            </w:r>
          </w:p>
        </w:tc>
        <w:tc>
          <w:tcPr>
            <w:tcW w:w="906" w:type="dxa"/>
            <w:tcBorders>
              <w:top w:val="single" w:color="000000" w:sz="2" w:space="0"/>
              <w:left w:val="single" w:color="auto" w:sz="4" w:space="0"/>
              <w:bottom w:val="single" w:color="000000" w:sz="2" w:space="0"/>
              <w:right w:val="single" w:color="auto" w:sz="4" w:space="0"/>
            </w:tcBorders>
            <w:vAlign w:val="center"/>
          </w:tcPr>
          <w:p w14:paraId="3E0C9459">
            <w:pPr>
              <w:jc w:val="center"/>
              <w:rPr>
                <w:rFonts w:ascii="宋体" w:hAnsi="宋体"/>
                <w:b/>
                <w:color w:val="auto"/>
                <w:sz w:val="24"/>
                <w:highlight w:val="none"/>
              </w:rPr>
            </w:pPr>
            <w:r>
              <w:rPr>
                <w:rFonts w:hint="eastAsia" w:ascii="宋体" w:hAnsi="宋体"/>
                <w:b/>
                <w:color w:val="auto"/>
                <w:sz w:val="24"/>
                <w:highlight w:val="none"/>
              </w:rPr>
              <w:t>性别</w:t>
            </w:r>
          </w:p>
        </w:tc>
        <w:tc>
          <w:tcPr>
            <w:tcW w:w="713" w:type="dxa"/>
            <w:tcBorders>
              <w:top w:val="single" w:color="000000" w:sz="2" w:space="0"/>
              <w:left w:val="single" w:color="auto" w:sz="4" w:space="0"/>
              <w:bottom w:val="single" w:color="000000" w:sz="2" w:space="0"/>
              <w:right w:val="single" w:color="auto" w:sz="4" w:space="0"/>
            </w:tcBorders>
            <w:vAlign w:val="center"/>
          </w:tcPr>
          <w:p w14:paraId="5811C6CF">
            <w:pPr>
              <w:jc w:val="center"/>
              <w:rPr>
                <w:rFonts w:ascii="宋体" w:hAnsi="宋体"/>
                <w:b/>
                <w:color w:val="auto"/>
                <w:sz w:val="24"/>
                <w:highlight w:val="none"/>
              </w:rPr>
            </w:pPr>
            <w:r>
              <w:rPr>
                <w:rFonts w:hint="eastAsia" w:ascii="宋体" w:hAnsi="宋体"/>
                <w:b/>
                <w:color w:val="auto"/>
                <w:sz w:val="24"/>
                <w:highlight w:val="none"/>
              </w:rPr>
              <w:t>年龄</w:t>
            </w:r>
          </w:p>
        </w:tc>
        <w:tc>
          <w:tcPr>
            <w:tcW w:w="966" w:type="dxa"/>
            <w:tcBorders>
              <w:top w:val="single" w:color="000000" w:sz="2" w:space="0"/>
              <w:left w:val="single" w:color="auto" w:sz="4" w:space="0"/>
              <w:bottom w:val="single" w:color="000000" w:sz="2" w:space="0"/>
              <w:right w:val="single" w:color="auto" w:sz="4" w:space="0"/>
            </w:tcBorders>
            <w:vAlign w:val="center"/>
          </w:tcPr>
          <w:p w14:paraId="14CDB23E">
            <w:pPr>
              <w:jc w:val="center"/>
              <w:rPr>
                <w:rFonts w:ascii="宋体" w:hAnsi="宋体"/>
                <w:b/>
                <w:color w:val="auto"/>
                <w:sz w:val="24"/>
                <w:highlight w:val="none"/>
              </w:rPr>
            </w:pPr>
            <w:r>
              <w:rPr>
                <w:rFonts w:hint="eastAsia" w:ascii="宋体" w:hAnsi="宋体"/>
                <w:b/>
                <w:color w:val="auto"/>
                <w:sz w:val="24"/>
                <w:highlight w:val="none"/>
              </w:rPr>
              <w:t>学历</w:t>
            </w:r>
          </w:p>
        </w:tc>
        <w:tc>
          <w:tcPr>
            <w:tcW w:w="2409" w:type="dxa"/>
            <w:tcBorders>
              <w:top w:val="single" w:color="000000" w:sz="2" w:space="0"/>
              <w:left w:val="single" w:color="auto" w:sz="4" w:space="0"/>
              <w:bottom w:val="single" w:color="000000" w:sz="2" w:space="0"/>
              <w:right w:val="single" w:color="000000" w:sz="2" w:space="0"/>
            </w:tcBorders>
            <w:vAlign w:val="center"/>
          </w:tcPr>
          <w:p w14:paraId="69E9E61D">
            <w:pPr>
              <w:ind w:firstLine="482"/>
              <w:rPr>
                <w:rFonts w:ascii="宋体" w:hAnsi="宋体" w:cs="宋体"/>
                <w:b/>
                <w:color w:val="auto"/>
                <w:sz w:val="24"/>
                <w:highlight w:val="none"/>
              </w:rPr>
            </w:pPr>
            <w:r>
              <w:rPr>
                <w:rFonts w:hint="eastAsia" w:ascii="宋体" w:hAnsi="宋体" w:cs="宋体"/>
                <w:b/>
                <w:color w:val="auto"/>
                <w:sz w:val="24"/>
                <w:highlight w:val="none"/>
              </w:rPr>
              <w:t>专业技术职称</w:t>
            </w:r>
          </w:p>
        </w:tc>
        <w:tc>
          <w:tcPr>
            <w:tcW w:w="1890" w:type="dxa"/>
            <w:tcBorders>
              <w:top w:val="single" w:color="000000" w:sz="2" w:space="0"/>
              <w:left w:val="single" w:color="auto" w:sz="4" w:space="0"/>
              <w:bottom w:val="single" w:color="000000" w:sz="2" w:space="0"/>
              <w:right w:val="single" w:color="000000" w:sz="2" w:space="0"/>
            </w:tcBorders>
            <w:vAlign w:val="center"/>
          </w:tcPr>
          <w:p w14:paraId="4B2CEBF6">
            <w:pPr>
              <w:ind w:firstLine="482"/>
              <w:jc w:val="center"/>
              <w:rPr>
                <w:rFonts w:ascii="宋体" w:hAnsi="宋体"/>
                <w:b/>
                <w:color w:val="auto"/>
                <w:sz w:val="24"/>
                <w:highlight w:val="none"/>
              </w:rPr>
            </w:pPr>
            <w:r>
              <w:rPr>
                <w:rFonts w:hint="eastAsia" w:ascii="宋体" w:hAnsi="宋体"/>
                <w:b/>
                <w:color w:val="auto"/>
                <w:sz w:val="24"/>
                <w:highlight w:val="none"/>
              </w:rPr>
              <w:t>备  注</w:t>
            </w:r>
          </w:p>
        </w:tc>
      </w:tr>
      <w:tr w14:paraId="72A8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4E8D75E">
            <w:pPr>
              <w:snapToGrid w:val="0"/>
              <w:ind w:firstLine="240" w:firstLineChars="100"/>
              <w:rPr>
                <w:rFonts w:ascii="宋体" w:hAnsi="宋体"/>
                <w:color w:val="auto"/>
                <w:sz w:val="24"/>
                <w:highlight w:val="none"/>
              </w:rPr>
            </w:pPr>
            <w:r>
              <w:rPr>
                <w:rFonts w:hint="eastAsia" w:ascii="宋体" w:hAnsi="宋体"/>
                <w:color w:val="auto"/>
                <w:sz w:val="24"/>
                <w:highlight w:val="none"/>
              </w:rPr>
              <w:t>1</w:t>
            </w:r>
          </w:p>
        </w:tc>
        <w:tc>
          <w:tcPr>
            <w:tcW w:w="1157" w:type="dxa"/>
            <w:tcBorders>
              <w:top w:val="single" w:color="auto" w:sz="4" w:space="0"/>
              <w:left w:val="single" w:color="auto" w:sz="4" w:space="0"/>
              <w:bottom w:val="single" w:color="000000" w:sz="2" w:space="0"/>
              <w:right w:val="single" w:color="auto" w:sz="4" w:space="0"/>
            </w:tcBorders>
            <w:vAlign w:val="center"/>
          </w:tcPr>
          <w:p w14:paraId="59559F5B">
            <w:pPr>
              <w:snapToGrid w:val="0"/>
              <w:spacing w:line="360" w:lineRule="auto"/>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4C10F067">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0B63A133">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6A748DA6">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1179BE02">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7466711F">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1E8BAA33">
            <w:pPr>
              <w:snapToGrid w:val="0"/>
              <w:ind w:firstLine="480"/>
              <w:jc w:val="center"/>
              <w:rPr>
                <w:rFonts w:ascii="宋体" w:hAnsi="宋体"/>
                <w:color w:val="auto"/>
                <w:sz w:val="24"/>
                <w:highlight w:val="none"/>
              </w:rPr>
            </w:pPr>
          </w:p>
        </w:tc>
      </w:tr>
      <w:tr w14:paraId="3DFF3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2DF0761">
            <w:pPr>
              <w:snapToGrid w:val="0"/>
              <w:ind w:firstLine="240" w:firstLineChars="100"/>
              <w:rPr>
                <w:rFonts w:ascii="宋体" w:hAnsi="宋体"/>
                <w:color w:val="auto"/>
                <w:sz w:val="24"/>
                <w:highlight w:val="none"/>
              </w:rPr>
            </w:pPr>
            <w:r>
              <w:rPr>
                <w:rFonts w:hint="eastAsia" w:ascii="宋体" w:hAnsi="宋体"/>
                <w:color w:val="auto"/>
                <w:sz w:val="24"/>
                <w:highlight w:val="none"/>
              </w:rPr>
              <w:t>2</w:t>
            </w:r>
          </w:p>
        </w:tc>
        <w:tc>
          <w:tcPr>
            <w:tcW w:w="1157" w:type="dxa"/>
            <w:tcBorders>
              <w:top w:val="single" w:color="auto" w:sz="4" w:space="0"/>
              <w:left w:val="single" w:color="auto" w:sz="4" w:space="0"/>
              <w:bottom w:val="single" w:color="000000" w:sz="2" w:space="0"/>
              <w:right w:val="single" w:color="auto" w:sz="4" w:space="0"/>
            </w:tcBorders>
            <w:vAlign w:val="center"/>
          </w:tcPr>
          <w:p w14:paraId="058D03EC">
            <w:pPr>
              <w:snapToGrid w:val="0"/>
              <w:spacing w:line="360" w:lineRule="auto"/>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1FBCC4F2">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39B71214">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3EDF799F">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068485C">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356C6CDC">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0E2D7D1F">
            <w:pPr>
              <w:snapToGrid w:val="0"/>
              <w:ind w:firstLine="480"/>
              <w:jc w:val="center"/>
              <w:rPr>
                <w:rFonts w:ascii="宋体" w:hAnsi="宋体"/>
                <w:color w:val="auto"/>
                <w:sz w:val="24"/>
                <w:highlight w:val="none"/>
              </w:rPr>
            </w:pPr>
          </w:p>
        </w:tc>
      </w:tr>
      <w:tr w14:paraId="40855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1C2502A">
            <w:pPr>
              <w:snapToGrid w:val="0"/>
              <w:ind w:firstLine="240" w:firstLineChars="100"/>
              <w:rPr>
                <w:rFonts w:ascii="宋体" w:hAnsi="宋体"/>
                <w:color w:val="auto"/>
                <w:sz w:val="24"/>
                <w:highlight w:val="none"/>
              </w:rPr>
            </w:pPr>
            <w:r>
              <w:rPr>
                <w:rFonts w:hint="eastAsia" w:ascii="宋体" w:hAnsi="宋体"/>
                <w:color w:val="auto"/>
                <w:sz w:val="24"/>
                <w:highlight w:val="none"/>
              </w:rPr>
              <w:t>3</w:t>
            </w:r>
          </w:p>
        </w:tc>
        <w:tc>
          <w:tcPr>
            <w:tcW w:w="1157" w:type="dxa"/>
            <w:tcBorders>
              <w:top w:val="single" w:color="auto" w:sz="4" w:space="0"/>
              <w:left w:val="single" w:color="auto" w:sz="4" w:space="0"/>
              <w:bottom w:val="single" w:color="000000" w:sz="2" w:space="0"/>
              <w:right w:val="single" w:color="auto" w:sz="4" w:space="0"/>
            </w:tcBorders>
            <w:vAlign w:val="center"/>
          </w:tcPr>
          <w:p w14:paraId="4A50B71E">
            <w:pPr>
              <w:snapToGrid w:val="0"/>
              <w:spacing w:line="360" w:lineRule="auto"/>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4514D04E">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77496404">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3E12E2B4">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674534A4">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57BAEF3C">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2B0F4B8E">
            <w:pPr>
              <w:snapToGrid w:val="0"/>
              <w:ind w:firstLine="480"/>
              <w:jc w:val="center"/>
              <w:rPr>
                <w:rFonts w:ascii="宋体" w:hAnsi="宋体"/>
                <w:color w:val="auto"/>
                <w:sz w:val="24"/>
                <w:highlight w:val="none"/>
              </w:rPr>
            </w:pPr>
          </w:p>
        </w:tc>
      </w:tr>
      <w:tr w14:paraId="7B5EA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70F9F4E">
            <w:pPr>
              <w:snapToGrid w:val="0"/>
              <w:ind w:firstLine="240" w:firstLineChars="100"/>
              <w:rPr>
                <w:rFonts w:ascii="宋体" w:hAnsi="宋体"/>
                <w:color w:val="auto"/>
                <w:sz w:val="24"/>
                <w:highlight w:val="none"/>
              </w:rPr>
            </w:pPr>
            <w:r>
              <w:rPr>
                <w:rFonts w:hint="eastAsia" w:ascii="宋体" w:hAnsi="宋体"/>
                <w:color w:val="auto"/>
                <w:sz w:val="24"/>
                <w:highlight w:val="none"/>
              </w:rPr>
              <w:t>4</w:t>
            </w:r>
          </w:p>
        </w:tc>
        <w:tc>
          <w:tcPr>
            <w:tcW w:w="1157" w:type="dxa"/>
            <w:tcBorders>
              <w:top w:val="single" w:color="auto" w:sz="4" w:space="0"/>
              <w:left w:val="single" w:color="auto" w:sz="4" w:space="0"/>
              <w:bottom w:val="single" w:color="000000" w:sz="2" w:space="0"/>
              <w:right w:val="single" w:color="auto" w:sz="4" w:space="0"/>
            </w:tcBorders>
            <w:vAlign w:val="center"/>
          </w:tcPr>
          <w:p w14:paraId="42EB45FD">
            <w:pPr>
              <w:snapToGrid w:val="0"/>
              <w:spacing w:line="360" w:lineRule="auto"/>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2531AB6D">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3A090594">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337E90DB">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1953B101">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0193AD2E">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57DE1946">
            <w:pPr>
              <w:snapToGrid w:val="0"/>
              <w:ind w:firstLine="480"/>
              <w:jc w:val="center"/>
              <w:rPr>
                <w:rFonts w:ascii="宋体" w:hAnsi="宋体"/>
                <w:color w:val="auto"/>
                <w:sz w:val="24"/>
                <w:highlight w:val="none"/>
              </w:rPr>
            </w:pPr>
          </w:p>
        </w:tc>
      </w:tr>
      <w:tr w14:paraId="02F7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3E541445">
            <w:pPr>
              <w:snapToGrid w:val="0"/>
              <w:ind w:firstLine="240" w:firstLineChars="100"/>
              <w:rPr>
                <w:rFonts w:ascii="宋体" w:hAnsi="宋体"/>
                <w:color w:val="auto"/>
                <w:sz w:val="24"/>
                <w:highlight w:val="none"/>
              </w:rPr>
            </w:pPr>
            <w:r>
              <w:rPr>
                <w:rFonts w:hint="eastAsia" w:ascii="宋体" w:hAnsi="宋体"/>
                <w:color w:val="auto"/>
                <w:sz w:val="24"/>
                <w:highlight w:val="none"/>
              </w:rPr>
              <w:t>5</w:t>
            </w:r>
          </w:p>
        </w:tc>
        <w:tc>
          <w:tcPr>
            <w:tcW w:w="1157" w:type="dxa"/>
            <w:tcBorders>
              <w:top w:val="single" w:color="auto" w:sz="4" w:space="0"/>
              <w:left w:val="single" w:color="auto" w:sz="4" w:space="0"/>
              <w:bottom w:val="single" w:color="000000" w:sz="2" w:space="0"/>
              <w:right w:val="single" w:color="auto" w:sz="4" w:space="0"/>
            </w:tcBorders>
          </w:tcPr>
          <w:p w14:paraId="69F1BB23">
            <w:pPr>
              <w:snapToGrid w:val="0"/>
              <w:spacing w:line="360" w:lineRule="auto"/>
              <w:ind w:firstLine="240" w:firstLineChars="100"/>
              <w:rPr>
                <w:rFonts w:ascii="宋体" w:hAnsi="宋体" w:cs="宋体"/>
                <w:color w:val="auto"/>
                <w:sz w:val="24"/>
                <w:szCs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18840E1C">
            <w:pPr>
              <w:snapToGrid w:val="0"/>
              <w:spacing w:line="360" w:lineRule="auto"/>
              <w:jc w:val="center"/>
              <w:rPr>
                <w:rFonts w:ascii="宋体" w:hAnsi="宋体" w:cs="宋体"/>
                <w:color w:val="auto"/>
                <w:sz w:val="24"/>
                <w:szCs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6CC359DB">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2B691BE4">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995FE12">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0DAFF50D">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640AF4B7">
            <w:pPr>
              <w:snapToGrid w:val="0"/>
              <w:ind w:firstLine="480"/>
              <w:jc w:val="center"/>
              <w:rPr>
                <w:rFonts w:ascii="宋体" w:hAnsi="宋体"/>
                <w:color w:val="auto"/>
                <w:sz w:val="24"/>
                <w:highlight w:val="none"/>
              </w:rPr>
            </w:pPr>
          </w:p>
        </w:tc>
      </w:tr>
      <w:tr w14:paraId="2BE5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494C8815">
            <w:pPr>
              <w:snapToGrid w:val="0"/>
              <w:ind w:firstLine="240" w:firstLineChars="100"/>
              <w:rPr>
                <w:rFonts w:ascii="宋体" w:hAnsi="宋体"/>
                <w:color w:val="auto"/>
                <w:sz w:val="24"/>
                <w:highlight w:val="none"/>
              </w:rPr>
            </w:pPr>
            <w:r>
              <w:rPr>
                <w:rFonts w:hint="eastAsia" w:ascii="宋体" w:hAnsi="宋体"/>
                <w:color w:val="auto"/>
                <w:sz w:val="24"/>
                <w:highlight w:val="none"/>
              </w:rPr>
              <w:t>6</w:t>
            </w:r>
          </w:p>
        </w:tc>
        <w:tc>
          <w:tcPr>
            <w:tcW w:w="1157" w:type="dxa"/>
            <w:tcBorders>
              <w:top w:val="single" w:color="auto" w:sz="4" w:space="0"/>
              <w:left w:val="single" w:color="auto" w:sz="4" w:space="0"/>
              <w:bottom w:val="single" w:color="000000" w:sz="2" w:space="0"/>
              <w:right w:val="single" w:color="auto" w:sz="4" w:space="0"/>
            </w:tcBorders>
          </w:tcPr>
          <w:p w14:paraId="175D3EBC">
            <w:pPr>
              <w:snapToGrid w:val="0"/>
              <w:ind w:firstLine="480"/>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020AE97F">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32E76E00">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2571F2B8">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0BFEDA1">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5A33B93D">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709CB34D">
            <w:pPr>
              <w:snapToGrid w:val="0"/>
              <w:ind w:firstLine="480"/>
              <w:jc w:val="center"/>
              <w:rPr>
                <w:rFonts w:ascii="宋体" w:hAnsi="宋体"/>
                <w:color w:val="auto"/>
                <w:sz w:val="24"/>
                <w:highlight w:val="none"/>
              </w:rPr>
            </w:pPr>
          </w:p>
        </w:tc>
      </w:tr>
      <w:tr w14:paraId="4759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74BCC48E">
            <w:pPr>
              <w:snapToGrid w:val="0"/>
              <w:ind w:firstLine="240" w:firstLineChars="100"/>
              <w:rPr>
                <w:rFonts w:ascii="宋体" w:hAnsi="宋体"/>
                <w:color w:val="auto"/>
                <w:sz w:val="24"/>
                <w:highlight w:val="none"/>
              </w:rPr>
            </w:pPr>
            <w:r>
              <w:rPr>
                <w:rFonts w:ascii="宋体" w:hAnsi="宋体"/>
                <w:color w:val="auto"/>
                <w:sz w:val="24"/>
                <w:highlight w:val="none"/>
              </w:rPr>
              <w:t>…</w:t>
            </w:r>
          </w:p>
        </w:tc>
        <w:tc>
          <w:tcPr>
            <w:tcW w:w="1157" w:type="dxa"/>
            <w:tcBorders>
              <w:top w:val="single" w:color="auto" w:sz="4" w:space="0"/>
              <w:left w:val="single" w:color="auto" w:sz="4" w:space="0"/>
              <w:bottom w:val="single" w:color="000000" w:sz="2" w:space="0"/>
              <w:right w:val="single" w:color="auto" w:sz="4" w:space="0"/>
            </w:tcBorders>
          </w:tcPr>
          <w:p w14:paraId="7ECBD0E3">
            <w:pPr>
              <w:snapToGrid w:val="0"/>
              <w:ind w:firstLine="480"/>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6E40C5DE">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65926DBB">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6255D845">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A489F23">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1C413826">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30256488">
            <w:pPr>
              <w:snapToGrid w:val="0"/>
              <w:ind w:firstLine="480"/>
              <w:jc w:val="center"/>
              <w:rPr>
                <w:rFonts w:ascii="宋体" w:hAnsi="宋体"/>
                <w:color w:val="auto"/>
                <w:sz w:val="24"/>
                <w:highlight w:val="none"/>
              </w:rPr>
            </w:pPr>
          </w:p>
        </w:tc>
      </w:tr>
    </w:tbl>
    <w:p w14:paraId="1122883D">
      <w:pPr>
        <w:adjustRightInd w:val="0"/>
        <w:snapToGrid w:val="0"/>
        <w:spacing w:line="360" w:lineRule="auto"/>
        <w:ind w:firstLine="480"/>
        <w:rPr>
          <w:rFonts w:hint="eastAsia" w:ascii="宋体" w:hAnsi="宋体"/>
          <w:color w:val="auto"/>
          <w:sz w:val="24"/>
          <w:highlight w:val="none"/>
        </w:rPr>
      </w:pPr>
    </w:p>
    <w:p w14:paraId="507E628E">
      <w:pPr>
        <w:numPr>
          <w:ilvl w:val="0"/>
          <w:numId w:val="0"/>
        </w:num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注：</w:t>
      </w:r>
      <w:r>
        <w:rPr>
          <w:rFonts w:ascii="宋体" w:hAnsi="宋体" w:eastAsia="宋体" w:cs="宋体"/>
          <w:color w:val="auto"/>
          <w:sz w:val="24"/>
          <w:highlight w:val="none"/>
          <w:lang w:eastAsia="zh-CN"/>
        </w:rPr>
        <w:t>按照招标文件要求提供相应资质证明材料</w:t>
      </w:r>
      <w:r>
        <w:rPr>
          <w:rFonts w:hint="eastAsia" w:ascii="宋体" w:hAnsi="宋体" w:eastAsia="宋体" w:cs="宋体"/>
          <w:color w:val="auto"/>
          <w:sz w:val="24"/>
          <w:highlight w:val="none"/>
          <w:lang w:eastAsia="zh-CN"/>
        </w:rPr>
        <w:t>。</w:t>
      </w:r>
    </w:p>
    <w:p w14:paraId="321778E2">
      <w:pPr>
        <w:adjustRightInd w:val="0"/>
        <w:snapToGrid w:val="0"/>
        <w:spacing w:line="360" w:lineRule="auto"/>
        <w:ind w:firstLine="480"/>
        <w:rPr>
          <w:rFonts w:ascii="宋体" w:hAnsi="宋体"/>
          <w:color w:val="auto"/>
          <w:sz w:val="24"/>
          <w:highlight w:val="none"/>
        </w:rPr>
      </w:pPr>
    </w:p>
    <w:p w14:paraId="2EAF851C">
      <w:pPr>
        <w:adjustRightInd w:val="0"/>
        <w:snapToGrid w:val="0"/>
        <w:spacing w:line="360" w:lineRule="auto"/>
        <w:ind w:firstLine="480"/>
        <w:rPr>
          <w:rFonts w:ascii="宋体" w:hAnsi="宋体"/>
          <w:color w:val="auto"/>
          <w:sz w:val="24"/>
          <w:highlight w:val="none"/>
        </w:rPr>
      </w:pPr>
    </w:p>
    <w:p w14:paraId="61C054DE">
      <w:pPr>
        <w:adjustRightInd w:val="0"/>
        <w:snapToGrid w:val="0"/>
        <w:spacing w:line="360" w:lineRule="auto"/>
        <w:ind w:firstLine="480"/>
        <w:rPr>
          <w:rFonts w:ascii="宋体" w:hAnsi="宋体"/>
          <w:color w:val="auto"/>
          <w:sz w:val="24"/>
          <w:highlight w:val="none"/>
        </w:rPr>
      </w:pPr>
    </w:p>
    <w:p w14:paraId="26E89D7B">
      <w:pPr>
        <w:widowControl/>
        <w:spacing w:line="360" w:lineRule="auto"/>
        <w:ind w:firstLine="3360" w:firstLineChars="1400"/>
        <w:jc w:val="left"/>
        <w:rPr>
          <w:rFonts w:ascii="宋体" w:hAnsi="宋体"/>
          <w:color w:val="auto"/>
          <w:sz w:val="24"/>
          <w:highlight w:val="none"/>
        </w:rPr>
      </w:pPr>
      <w:r>
        <w:rPr>
          <w:rFonts w:hint="eastAsia" w:ascii="宋体" w:hAnsi="宋体"/>
          <w:color w:val="auto"/>
          <w:sz w:val="24"/>
          <w:highlight w:val="none"/>
          <w:lang w:eastAsia="zh-CN"/>
        </w:rPr>
        <w:t>供应商</w:t>
      </w:r>
      <w:r>
        <w:rPr>
          <w:rFonts w:ascii="宋体" w:hAnsi="宋体"/>
          <w:color w:val="auto"/>
          <w:sz w:val="24"/>
          <w:highlight w:val="none"/>
        </w:rPr>
        <w:t xml:space="preserve">（单位盖章）： </w:t>
      </w:r>
    </w:p>
    <w:p w14:paraId="3179CF3E">
      <w:pPr>
        <w:pStyle w:val="5"/>
        <w:spacing w:line="360" w:lineRule="auto"/>
        <w:ind w:right="1200" w:firstLine="3360" w:firstLineChars="1400"/>
        <w:jc w:val="left"/>
        <w:rPr>
          <w:rFonts w:hAnsi="宋体"/>
          <w:color w:val="auto"/>
          <w:sz w:val="24"/>
          <w:szCs w:val="24"/>
          <w:highlight w:val="none"/>
        </w:rPr>
      </w:pPr>
      <w:r>
        <w:rPr>
          <w:rFonts w:hAnsi="宋体"/>
          <w:color w:val="auto"/>
          <w:sz w:val="24"/>
          <w:szCs w:val="24"/>
          <w:highlight w:val="none"/>
        </w:rPr>
        <w:t>法定代表人或代理人（签字或盖章）：</w:t>
      </w:r>
    </w:p>
    <w:p w14:paraId="12454128">
      <w:pPr>
        <w:pStyle w:val="5"/>
        <w:spacing w:line="360" w:lineRule="auto"/>
        <w:ind w:right="960" w:firstLine="3360" w:firstLineChars="1400"/>
        <w:jc w:val="left"/>
        <w:rPr>
          <w:rFonts w:hAnsi="宋体"/>
          <w:color w:val="auto"/>
          <w:sz w:val="24"/>
          <w:szCs w:val="24"/>
          <w:highlight w:val="none"/>
        </w:rPr>
      </w:pPr>
      <w:r>
        <w:rPr>
          <w:rFonts w:hAnsi="宋体"/>
          <w:color w:val="auto"/>
          <w:sz w:val="24"/>
          <w:szCs w:val="24"/>
          <w:highlight w:val="none"/>
        </w:rPr>
        <w:t>日期：       年  月  日</w:t>
      </w:r>
    </w:p>
    <w:p w14:paraId="1A8A8F4F">
      <w:pPr>
        <w:pStyle w:val="4"/>
        <w:rPr>
          <w:rFonts w:ascii="宋体" w:hAnsi="宋体"/>
          <w:b/>
          <w:color w:val="auto"/>
          <w:sz w:val="32"/>
          <w:szCs w:val="32"/>
          <w:highlight w:val="none"/>
        </w:rPr>
      </w:pPr>
    </w:p>
    <w:p w14:paraId="0A69C241">
      <w:pPr>
        <w:pStyle w:val="4"/>
        <w:rPr>
          <w:rFonts w:ascii="宋体" w:hAnsi="宋体"/>
          <w:b/>
          <w:color w:val="auto"/>
          <w:sz w:val="32"/>
          <w:szCs w:val="32"/>
          <w:highlight w:val="none"/>
        </w:rPr>
      </w:pPr>
    </w:p>
    <w:p w14:paraId="207CB7AF">
      <w:pPr>
        <w:pStyle w:val="4"/>
        <w:rPr>
          <w:rFonts w:ascii="宋体" w:hAnsi="宋体"/>
          <w:b/>
          <w:color w:val="auto"/>
          <w:sz w:val="32"/>
          <w:szCs w:val="32"/>
          <w:highlight w:val="none"/>
        </w:rPr>
      </w:pPr>
    </w:p>
    <w:p w14:paraId="257A2B13">
      <w:pPr>
        <w:pStyle w:val="4"/>
        <w:rPr>
          <w:rFonts w:ascii="宋体" w:hAnsi="宋体"/>
          <w:b/>
          <w:color w:val="auto"/>
          <w:sz w:val="32"/>
          <w:szCs w:val="32"/>
          <w:highlight w:val="none"/>
        </w:rPr>
      </w:pPr>
    </w:p>
    <w:p w14:paraId="0C9D7C67">
      <w:pPr>
        <w:pStyle w:val="4"/>
        <w:rPr>
          <w:rFonts w:ascii="宋体" w:hAnsi="宋体"/>
          <w:b/>
          <w:color w:val="auto"/>
          <w:sz w:val="32"/>
          <w:szCs w:val="32"/>
          <w:highlight w:val="none"/>
        </w:rPr>
      </w:pPr>
    </w:p>
    <w:p w14:paraId="5F4742CD">
      <w:pPr>
        <w:pStyle w:val="5"/>
        <w:spacing w:line="360" w:lineRule="auto"/>
        <w:rPr>
          <w:rFonts w:hint="eastAsia" w:hAnsi="宋体"/>
          <w:b/>
          <w:bCs/>
          <w:color w:val="auto"/>
          <w:sz w:val="32"/>
          <w:szCs w:val="32"/>
          <w:highlight w:val="none"/>
        </w:rPr>
      </w:pPr>
    </w:p>
    <w:p w14:paraId="0C51E9E8">
      <w:pPr>
        <w:pStyle w:val="5"/>
        <w:spacing w:line="360" w:lineRule="auto"/>
        <w:rPr>
          <w:rFonts w:hint="eastAsia" w:hAnsi="宋体"/>
          <w:b/>
          <w:bCs/>
          <w:color w:val="auto"/>
          <w:sz w:val="32"/>
          <w:szCs w:val="32"/>
          <w:highlight w:val="none"/>
        </w:rPr>
      </w:pPr>
    </w:p>
    <w:p w14:paraId="742F5A7D">
      <w:pPr>
        <w:pStyle w:val="5"/>
        <w:spacing w:line="360" w:lineRule="auto"/>
        <w:rPr>
          <w:rFonts w:hint="eastAsia" w:hAnsi="宋体"/>
          <w:b/>
          <w:bCs/>
          <w:color w:val="auto"/>
          <w:sz w:val="32"/>
          <w:szCs w:val="32"/>
          <w:highlight w:val="none"/>
        </w:rPr>
      </w:pPr>
    </w:p>
    <w:p w14:paraId="77AB91E5">
      <w:pPr>
        <w:pStyle w:val="5"/>
        <w:spacing w:line="360" w:lineRule="auto"/>
        <w:rPr>
          <w:rFonts w:hint="eastAsia" w:hAnsi="宋体"/>
          <w:b/>
          <w:bCs/>
          <w:color w:val="auto"/>
          <w:sz w:val="32"/>
          <w:szCs w:val="32"/>
          <w:highlight w:val="none"/>
        </w:rPr>
      </w:pPr>
    </w:p>
    <w:p w14:paraId="36F177B6">
      <w:pPr>
        <w:pStyle w:val="5"/>
        <w:spacing w:line="360" w:lineRule="auto"/>
        <w:rPr>
          <w:rFonts w:hint="eastAsia" w:hAnsi="宋体"/>
          <w:b/>
          <w:bCs/>
          <w:color w:val="auto"/>
          <w:sz w:val="32"/>
          <w:szCs w:val="32"/>
          <w:highlight w:val="none"/>
        </w:rPr>
      </w:pPr>
    </w:p>
    <w:p w14:paraId="132A7683">
      <w:pPr>
        <w:pStyle w:val="5"/>
        <w:spacing w:line="360" w:lineRule="auto"/>
        <w:rPr>
          <w:rFonts w:hAnsi="宋体"/>
          <w:b/>
          <w:bCs/>
          <w:color w:val="auto"/>
          <w:sz w:val="32"/>
          <w:szCs w:val="32"/>
          <w:highlight w:val="none"/>
        </w:rPr>
      </w:pPr>
      <w:r>
        <w:rPr>
          <w:rFonts w:hint="eastAsia" w:hAnsi="宋体"/>
          <w:b/>
          <w:bCs/>
          <w:color w:val="auto"/>
          <w:sz w:val="32"/>
          <w:szCs w:val="32"/>
          <w:highlight w:val="none"/>
        </w:rPr>
        <w:t>1</w:t>
      </w:r>
      <w:r>
        <w:rPr>
          <w:rFonts w:hint="eastAsia" w:hAnsi="宋体"/>
          <w:b/>
          <w:bCs/>
          <w:color w:val="auto"/>
          <w:sz w:val="32"/>
          <w:szCs w:val="32"/>
          <w:highlight w:val="none"/>
          <w:lang w:val="en-US" w:eastAsia="zh-CN"/>
        </w:rPr>
        <w:t>3</w:t>
      </w:r>
      <w:r>
        <w:rPr>
          <w:rFonts w:hint="eastAsia" w:hAnsi="宋体"/>
          <w:b/>
          <w:bCs/>
          <w:color w:val="auto"/>
          <w:sz w:val="32"/>
          <w:szCs w:val="32"/>
          <w:highlight w:val="none"/>
        </w:rPr>
        <w:t>、技术方案、服务方案（技术方案及服务方案的内容编排等由响应人自定）</w:t>
      </w:r>
    </w:p>
    <w:p w14:paraId="3484B673">
      <w:pPr>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相关方案</w:t>
      </w:r>
    </w:p>
    <w:tbl>
      <w:tblPr>
        <w:tblStyle w:val="15"/>
        <w:tblpPr w:leftFromText="180" w:rightFromText="180" w:vertAnchor="text" w:horzAnchor="margin" w:tblpXSpec="center" w:tblpY="1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5"/>
      </w:tblGrid>
      <w:tr w14:paraId="41DC1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trPr>
        <w:tc>
          <w:tcPr>
            <w:tcW w:w="8635" w:type="dxa"/>
          </w:tcPr>
          <w:p w14:paraId="678CF7CB">
            <w:pPr>
              <w:autoSpaceDE w:val="0"/>
              <w:autoSpaceDN w:val="0"/>
              <w:adjustRightInd w:val="0"/>
              <w:spacing w:line="480" w:lineRule="auto"/>
              <w:rPr>
                <w:rFonts w:ascii="宋体" w:hAnsi="宋体"/>
                <w:color w:val="auto"/>
                <w:sz w:val="24"/>
                <w:szCs w:val="24"/>
                <w:highlight w:val="none"/>
                <w:lang w:val="zh-CN"/>
              </w:rPr>
            </w:pPr>
            <w:r>
              <w:rPr>
                <w:rFonts w:hint="eastAsia" w:ascii="宋体" w:hAnsi="宋体"/>
                <w:color w:val="auto"/>
                <w:sz w:val="24"/>
                <w:szCs w:val="24"/>
                <w:highlight w:val="none"/>
                <w:lang w:val="zh-CN"/>
              </w:rPr>
              <w:t>提示：</w:t>
            </w:r>
          </w:p>
          <w:p w14:paraId="2251B97E">
            <w:pPr>
              <w:autoSpaceDE w:val="0"/>
              <w:autoSpaceDN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1、投标人应针对本次招标项目特点编写公司拟采取的相关方案，包括技术方案及服务方案、项目实施方案及进度方案、项目质量保证措施及承诺、项目售后服务方案等。</w:t>
            </w:r>
          </w:p>
          <w:p w14:paraId="57A9E7E1">
            <w:pPr>
              <w:autoSpaceDE w:val="0"/>
              <w:autoSpaceDN w:val="0"/>
              <w:adjustRightInd w:val="0"/>
              <w:snapToGrid w:val="0"/>
              <w:spacing w:line="360" w:lineRule="auto"/>
              <w:rPr>
                <w:rFonts w:ascii="宋体" w:hAnsi="宋体" w:cs="宋体"/>
                <w:color w:val="auto"/>
                <w:szCs w:val="21"/>
                <w:highlight w:val="none"/>
              </w:rPr>
            </w:pPr>
            <w:r>
              <w:rPr>
                <w:rFonts w:ascii="宋体" w:hAnsi="宋体"/>
                <w:color w:val="auto"/>
                <w:sz w:val="24"/>
                <w:szCs w:val="24"/>
                <w:highlight w:val="none"/>
              </w:rPr>
              <w:t>2</w:t>
            </w:r>
            <w:r>
              <w:rPr>
                <w:rFonts w:hint="eastAsia" w:ascii="宋体" w:hAnsi="宋体"/>
                <w:color w:val="auto"/>
                <w:sz w:val="24"/>
                <w:szCs w:val="24"/>
                <w:highlight w:val="none"/>
              </w:rPr>
              <w:t>、投标人可根据自身情况编写，本页不够可另加页附后。</w:t>
            </w:r>
          </w:p>
        </w:tc>
      </w:tr>
      <w:tr w14:paraId="0911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8" w:hRule="atLeast"/>
        </w:trPr>
        <w:tc>
          <w:tcPr>
            <w:tcW w:w="8635" w:type="dxa"/>
          </w:tcPr>
          <w:p w14:paraId="6A2EE5AC">
            <w:pPr>
              <w:tabs>
                <w:tab w:val="left" w:pos="1320"/>
              </w:tabs>
              <w:spacing w:line="360" w:lineRule="auto"/>
              <w:jc w:val="left"/>
              <w:rPr>
                <w:rFonts w:ascii="宋体" w:cs="宋体"/>
                <w:color w:val="auto"/>
                <w:szCs w:val="21"/>
                <w:highlight w:val="none"/>
              </w:rPr>
            </w:pPr>
          </w:p>
          <w:p w14:paraId="4072DB24">
            <w:pPr>
              <w:tabs>
                <w:tab w:val="left" w:pos="1320"/>
              </w:tabs>
              <w:spacing w:line="360" w:lineRule="auto"/>
              <w:jc w:val="left"/>
              <w:rPr>
                <w:rFonts w:ascii="宋体" w:cs="宋体"/>
                <w:color w:val="auto"/>
                <w:szCs w:val="21"/>
                <w:highlight w:val="none"/>
              </w:rPr>
            </w:pPr>
          </w:p>
          <w:p w14:paraId="6A71A637">
            <w:pPr>
              <w:tabs>
                <w:tab w:val="left" w:pos="1320"/>
              </w:tabs>
              <w:spacing w:line="360" w:lineRule="auto"/>
              <w:jc w:val="left"/>
              <w:rPr>
                <w:rFonts w:ascii="宋体" w:cs="宋体"/>
                <w:color w:val="auto"/>
                <w:szCs w:val="21"/>
                <w:highlight w:val="none"/>
              </w:rPr>
            </w:pPr>
          </w:p>
          <w:p w14:paraId="2CDF89A1">
            <w:pPr>
              <w:tabs>
                <w:tab w:val="left" w:pos="1320"/>
              </w:tabs>
              <w:spacing w:line="360" w:lineRule="auto"/>
              <w:jc w:val="left"/>
              <w:rPr>
                <w:rFonts w:ascii="宋体" w:cs="宋体"/>
                <w:color w:val="auto"/>
                <w:szCs w:val="21"/>
                <w:highlight w:val="none"/>
              </w:rPr>
            </w:pPr>
          </w:p>
          <w:p w14:paraId="7F2AEBE0">
            <w:pPr>
              <w:tabs>
                <w:tab w:val="left" w:pos="1320"/>
              </w:tabs>
              <w:spacing w:line="360" w:lineRule="auto"/>
              <w:jc w:val="left"/>
              <w:rPr>
                <w:rFonts w:ascii="宋体" w:cs="宋体"/>
                <w:color w:val="auto"/>
                <w:szCs w:val="21"/>
                <w:highlight w:val="none"/>
              </w:rPr>
            </w:pPr>
          </w:p>
          <w:p w14:paraId="791C3EC0">
            <w:pPr>
              <w:tabs>
                <w:tab w:val="left" w:pos="1320"/>
              </w:tabs>
              <w:spacing w:line="360" w:lineRule="auto"/>
              <w:jc w:val="left"/>
              <w:rPr>
                <w:rFonts w:ascii="宋体" w:cs="宋体"/>
                <w:color w:val="auto"/>
                <w:szCs w:val="21"/>
                <w:highlight w:val="none"/>
              </w:rPr>
            </w:pPr>
          </w:p>
          <w:p w14:paraId="0C40A3DC">
            <w:pPr>
              <w:tabs>
                <w:tab w:val="left" w:pos="1320"/>
              </w:tabs>
              <w:spacing w:line="360" w:lineRule="auto"/>
              <w:jc w:val="left"/>
              <w:rPr>
                <w:rFonts w:ascii="宋体" w:cs="宋体"/>
                <w:color w:val="auto"/>
                <w:szCs w:val="21"/>
                <w:highlight w:val="none"/>
              </w:rPr>
            </w:pPr>
          </w:p>
          <w:p w14:paraId="4F2A26FF">
            <w:pPr>
              <w:tabs>
                <w:tab w:val="left" w:pos="1320"/>
              </w:tabs>
              <w:spacing w:line="360" w:lineRule="auto"/>
              <w:jc w:val="left"/>
              <w:rPr>
                <w:rFonts w:ascii="宋体" w:cs="宋体"/>
                <w:color w:val="auto"/>
                <w:szCs w:val="21"/>
                <w:highlight w:val="none"/>
              </w:rPr>
            </w:pPr>
          </w:p>
          <w:p w14:paraId="55C2FB71">
            <w:pPr>
              <w:tabs>
                <w:tab w:val="left" w:pos="1320"/>
              </w:tabs>
              <w:spacing w:line="360" w:lineRule="auto"/>
              <w:jc w:val="left"/>
              <w:rPr>
                <w:rFonts w:ascii="宋体" w:cs="宋体"/>
                <w:color w:val="auto"/>
                <w:szCs w:val="21"/>
                <w:highlight w:val="none"/>
              </w:rPr>
            </w:pPr>
          </w:p>
          <w:p w14:paraId="4835C1AC">
            <w:pPr>
              <w:tabs>
                <w:tab w:val="left" w:pos="1320"/>
              </w:tabs>
              <w:spacing w:line="360" w:lineRule="auto"/>
              <w:jc w:val="left"/>
              <w:rPr>
                <w:rFonts w:ascii="宋体" w:cs="宋体"/>
                <w:color w:val="auto"/>
                <w:szCs w:val="21"/>
                <w:highlight w:val="none"/>
              </w:rPr>
            </w:pPr>
          </w:p>
          <w:p w14:paraId="79085B2B">
            <w:pPr>
              <w:tabs>
                <w:tab w:val="left" w:pos="5684"/>
              </w:tabs>
              <w:spacing w:line="360" w:lineRule="auto"/>
              <w:jc w:val="left"/>
              <w:rPr>
                <w:rFonts w:ascii="宋体" w:cs="宋体"/>
                <w:color w:val="auto"/>
                <w:szCs w:val="21"/>
                <w:highlight w:val="none"/>
              </w:rPr>
            </w:pPr>
          </w:p>
          <w:p w14:paraId="3BDCEFCE">
            <w:pPr>
              <w:autoSpaceDE w:val="0"/>
              <w:autoSpaceDN w:val="0"/>
              <w:adjustRightInd w:val="0"/>
              <w:spacing w:line="360" w:lineRule="auto"/>
              <w:ind w:firstLine="210"/>
              <w:jc w:val="left"/>
              <w:rPr>
                <w:rFonts w:ascii="宋体" w:hAnsi="宋体"/>
                <w:color w:val="auto"/>
                <w:sz w:val="24"/>
                <w:szCs w:val="24"/>
                <w:highlight w:val="none"/>
              </w:rPr>
            </w:pPr>
            <w:r>
              <w:rPr>
                <w:rFonts w:hint="eastAsia" w:ascii="宋体" w:hAnsi="宋体" w:cs="宋体"/>
                <w:color w:val="auto"/>
                <w:sz w:val="24"/>
                <w:szCs w:val="24"/>
                <w:highlight w:val="none"/>
                <w:lang w:val="zh-CN"/>
              </w:rPr>
              <w:t>投标人（公章）：</w:t>
            </w:r>
          </w:p>
          <w:p w14:paraId="0DE12882">
            <w:pPr>
              <w:autoSpaceDE w:val="0"/>
              <w:autoSpaceDN w:val="0"/>
              <w:adjustRightInd w:val="0"/>
              <w:spacing w:line="360" w:lineRule="auto"/>
              <w:ind w:firstLine="210"/>
              <w:jc w:val="left"/>
              <w:rPr>
                <w:rFonts w:ascii="宋体" w:hAnsi="宋体"/>
                <w:color w:val="auto"/>
                <w:sz w:val="24"/>
                <w:szCs w:val="24"/>
                <w:highlight w:val="none"/>
              </w:rPr>
            </w:pPr>
            <w:r>
              <w:rPr>
                <w:rFonts w:hint="eastAsia" w:ascii="宋体" w:hAnsi="宋体" w:cs="宋体"/>
                <w:color w:val="auto"/>
                <w:sz w:val="24"/>
                <w:szCs w:val="24"/>
                <w:highlight w:val="none"/>
                <w:lang w:val="zh-CN"/>
              </w:rPr>
              <w:t>法定代表人或被委托人：（签字或盖章）</w:t>
            </w:r>
          </w:p>
          <w:p w14:paraId="4561F2AE">
            <w:pPr>
              <w:autoSpaceDE w:val="0"/>
              <w:autoSpaceDN w:val="0"/>
              <w:adjustRightInd w:val="0"/>
              <w:spacing w:line="360" w:lineRule="auto"/>
              <w:ind w:firstLine="210"/>
              <w:jc w:val="left"/>
              <w:rPr>
                <w:rFonts w:ascii="宋体" w:hAnsi="宋体"/>
                <w:color w:val="auto"/>
                <w:sz w:val="24"/>
                <w:szCs w:val="24"/>
                <w:highlight w:val="none"/>
              </w:rPr>
            </w:pPr>
            <w:r>
              <w:rPr>
                <w:rFonts w:hint="eastAsia" w:ascii="宋体" w:hAnsi="宋体" w:cs="宋体"/>
                <w:color w:val="auto"/>
                <w:sz w:val="24"/>
                <w:szCs w:val="24"/>
                <w:highlight w:val="none"/>
                <w:lang w:val="zh-CN"/>
              </w:rPr>
              <w:t>日期：</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年</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月</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日</w:t>
            </w:r>
          </w:p>
          <w:p w14:paraId="33A0BDBE">
            <w:pPr>
              <w:tabs>
                <w:tab w:val="left" w:pos="1320"/>
              </w:tabs>
              <w:spacing w:line="360" w:lineRule="auto"/>
              <w:ind w:firstLine="210" w:firstLineChars="100"/>
              <w:jc w:val="left"/>
              <w:rPr>
                <w:rFonts w:ascii="宋体" w:cs="宋体"/>
                <w:color w:val="auto"/>
                <w:szCs w:val="21"/>
                <w:highlight w:val="none"/>
              </w:rPr>
            </w:pP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p>
        </w:tc>
      </w:tr>
    </w:tbl>
    <w:p w14:paraId="0C3F9E94">
      <w:pPr>
        <w:snapToGrid w:val="0"/>
        <w:rPr>
          <w:rFonts w:ascii="宋体" w:hAnsi="宋体" w:cs="Arial"/>
          <w:color w:val="auto"/>
          <w:sz w:val="24"/>
          <w:szCs w:val="21"/>
          <w:highlight w:val="none"/>
        </w:rPr>
      </w:pPr>
    </w:p>
    <w:p w14:paraId="409F0DBD">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46A38994">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4ECE0292">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7F67590D">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bookmarkEnd w:id="10"/>
    <w:bookmarkEnd w:id="11"/>
    <w:bookmarkEnd w:id="12"/>
    <w:bookmarkEnd w:id="13"/>
    <w:bookmarkEnd w:id="14"/>
    <w:p w14:paraId="294FD8CB">
      <w:pPr>
        <w:widowControl/>
        <w:jc w:val="both"/>
        <w:rPr>
          <w:rFonts w:hint="eastAsia" w:hAnsi="宋体"/>
          <w:b/>
          <w:color w:val="auto"/>
          <w:sz w:val="44"/>
          <w:szCs w:val="44"/>
          <w:highlight w:val="none"/>
        </w:rPr>
      </w:pPr>
    </w:p>
    <w:p w14:paraId="58879408">
      <w:pPr>
        <w:widowControl/>
        <w:jc w:val="both"/>
        <w:rPr>
          <w:rFonts w:hint="eastAsia" w:hAnsi="宋体"/>
          <w:b/>
          <w:color w:val="auto"/>
          <w:sz w:val="44"/>
          <w:szCs w:val="44"/>
          <w:highlight w:val="none"/>
        </w:rPr>
      </w:pPr>
    </w:p>
    <w:p w14:paraId="6C7BAA73">
      <w:pPr>
        <w:widowControl/>
        <w:jc w:val="center"/>
        <w:rPr>
          <w:rFonts w:hAnsi="宋体"/>
          <w:b/>
          <w:color w:val="auto"/>
          <w:sz w:val="44"/>
          <w:szCs w:val="44"/>
          <w:highlight w:val="none"/>
        </w:rPr>
      </w:pPr>
      <w:r>
        <w:rPr>
          <w:rFonts w:hint="eastAsia" w:hAnsi="宋体"/>
          <w:b/>
          <w:color w:val="auto"/>
          <w:sz w:val="44"/>
          <w:szCs w:val="44"/>
          <w:highlight w:val="none"/>
        </w:rPr>
        <w:t>第五部分评标方法与评标标准</w:t>
      </w:r>
    </w:p>
    <w:p w14:paraId="5692A6DF">
      <w:pPr>
        <w:spacing w:line="440" w:lineRule="exact"/>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评标方法</w:t>
      </w:r>
      <w:r>
        <w:rPr>
          <w:rFonts w:hint="eastAsia" w:ascii="宋体" w:hAnsi="宋体"/>
          <w:b/>
          <w:color w:val="auto"/>
          <w:sz w:val="24"/>
          <w:szCs w:val="24"/>
          <w:highlight w:val="none"/>
          <w:lang w:eastAsia="zh-CN"/>
        </w:rPr>
        <w:t>：</w:t>
      </w:r>
    </w:p>
    <w:p w14:paraId="2AAAD6AE">
      <w:pPr>
        <w:widowControl/>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本次招标的评标方法采用综合评分法。即指投标文件满足招标文件全部实质性要求，且按照评审因素的量化指标评审得分最高的投标人为中标候选人的评标方法。</w:t>
      </w:r>
    </w:p>
    <w:p w14:paraId="28970D7E">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0" w:firstLineChars="200"/>
        <w:jc w:val="left"/>
        <w:textAlignment w:val="auto"/>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w:t>
      </w:r>
      <w:r>
        <w:rPr>
          <w:rFonts w:hint="eastAsia" w:ascii="宋体" w:hAnsi="宋体" w:eastAsia="宋体" w:cs="宋体"/>
          <w:color w:val="auto"/>
          <w:kern w:val="0"/>
          <w:sz w:val="24"/>
          <w:szCs w:val="22"/>
          <w:highlight w:val="none"/>
          <w:lang w:eastAsia="zh-CN"/>
        </w:rPr>
        <w:t>二</w:t>
      </w:r>
      <w:r>
        <w:rPr>
          <w:rFonts w:hint="default" w:ascii="宋体" w:hAnsi="宋体" w:eastAsia="宋体" w:cs="宋体"/>
          <w:color w:val="auto"/>
          <w:kern w:val="0"/>
          <w:sz w:val="24"/>
          <w:szCs w:val="22"/>
          <w:highlight w:val="none"/>
          <w:lang w:eastAsia="zh-CN"/>
        </w:rPr>
        <w:t>、</w:t>
      </w:r>
      <w:r>
        <w:rPr>
          <w:rFonts w:hint="default" w:ascii="宋体" w:hAnsi="宋体" w:eastAsia="宋体" w:cs="宋体"/>
          <w:color w:val="auto"/>
          <w:kern w:val="0"/>
          <w:sz w:val="24"/>
          <w:szCs w:val="24"/>
          <w:highlight w:val="none"/>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default" w:ascii="宋体" w:hAnsi="宋体" w:eastAsia="宋体" w:cs="宋体"/>
          <w:color w:val="auto"/>
          <w:kern w:val="0"/>
          <w:sz w:val="24"/>
          <w:szCs w:val="24"/>
          <w:highlight w:val="none"/>
          <w:lang w:eastAsia="zh-CN"/>
        </w:rPr>
        <w:br w:type="textWrapping"/>
      </w:r>
      <w:r>
        <w:rPr>
          <w:rFonts w:hint="eastAsia" w:ascii="宋体" w:hAnsi="宋体" w:eastAsia="宋体" w:cs="宋体"/>
          <w:color w:val="auto"/>
          <w:kern w:val="0"/>
          <w:sz w:val="24"/>
          <w:szCs w:val="24"/>
          <w:highlight w:val="none"/>
          <w:lang w:eastAsia="zh-CN"/>
        </w:rPr>
        <w:t xml:space="preserve">    </w:t>
      </w:r>
      <w:r>
        <w:rPr>
          <w:rFonts w:hint="eastAsia" w:ascii="宋体" w:hAnsi="宋体" w:eastAsia="宋体" w:cs="宋体"/>
          <w:color w:val="auto"/>
          <w:kern w:val="0"/>
          <w:sz w:val="24"/>
          <w:szCs w:val="22"/>
          <w:highlight w:val="none"/>
          <w:lang w:eastAsia="zh-CN"/>
        </w:rPr>
        <w:t>三</w:t>
      </w:r>
      <w:r>
        <w:rPr>
          <w:rFonts w:hint="default" w:ascii="宋体" w:hAnsi="宋体" w:eastAsia="宋体" w:cs="宋体"/>
          <w:color w:val="auto"/>
          <w:kern w:val="0"/>
          <w:sz w:val="24"/>
          <w:szCs w:val="22"/>
          <w:highlight w:val="none"/>
          <w:lang w:eastAsia="zh-CN"/>
        </w:rPr>
        <w:t>、</w:t>
      </w:r>
      <w:r>
        <w:rPr>
          <w:rFonts w:hint="default" w:ascii="宋体" w:hAnsi="宋体" w:eastAsia="宋体" w:cs="宋体"/>
          <w:color w:val="auto"/>
          <w:kern w:val="0"/>
          <w:sz w:val="24"/>
          <w:szCs w:val="24"/>
          <w:highlight w:val="none"/>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default" w:ascii="宋体" w:hAnsi="宋体" w:eastAsia="宋体" w:cs="宋体"/>
          <w:color w:val="auto"/>
          <w:kern w:val="0"/>
          <w:sz w:val="24"/>
          <w:szCs w:val="24"/>
          <w:highlight w:val="none"/>
          <w:lang w:eastAsia="zh-CN"/>
        </w:rPr>
        <w:br w:type="textWrapping"/>
      </w:r>
      <w:r>
        <w:rPr>
          <w:rFonts w:hint="eastAsia" w:ascii="宋体" w:hAnsi="宋体" w:eastAsia="宋体" w:cs="宋体"/>
          <w:color w:val="auto"/>
          <w:kern w:val="0"/>
          <w:sz w:val="24"/>
          <w:szCs w:val="24"/>
          <w:highlight w:val="none"/>
          <w:lang w:eastAsia="zh-CN"/>
        </w:rPr>
        <w:t xml:space="preserve">    四</w:t>
      </w:r>
      <w:r>
        <w:rPr>
          <w:rFonts w:hint="default" w:ascii="宋体" w:hAnsi="宋体" w:eastAsia="宋体" w:cs="宋体"/>
          <w:color w:val="auto"/>
          <w:kern w:val="0"/>
          <w:sz w:val="24"/>
          <w:szCs w:val="24"/>
          <w:highlight w:val="none"/>
          <w:lang w:eastAsia="zh-CN"/>
        </w:rPr>
        <w:t>、如出现评审得分最高的投标人有两个或两个以上的，以投标报价较低者优先作为该标段中标候选人，如果投标报价也相同的，则由</w:t>
      </w:r>
      <w:r>
        <w:rPr>
          <w:rFonts w:hint="eastAsia" w:ascii="宋体" w:hAnsi="宋体" w:cs="宋体"/>
          <w:color w:val="auto"/>
          <w:kern w:val="0"/>
          <w:sz w:val="24"/>
          <w:szCs w:val="24"/>
          <w:highlight w:val="none"/>
          <w:lang w:val="en-US" w:eastAsia="zh-CN"/>
        </w:rPr>
        <w:t>评标委员会</w:t>
      </w:r>
      <w:r>
        <w:rPr>
          <w:rFonts w:hint="default" w:ascii="宋体" w:hAnsi="宋体" w:eastAsia="宋体" w:cs="宋体"/>
          <w:color w:val="auto"/>
          <w:kern w:val="0"/>
          <w:sz w:val="24"/>
          <w:szCs w:val="24"/>
          <w:highlight w:val="none"/>
          <w:lang w:eastAsia="zh-CN"/>
        </w:rPr>
        <w:t>组织以抽签方式确定中标候选人。</w:t>
      </w:r>
    </w:p>
    <w:p w14:paraId="1855604A">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color w:val="auto"/>
          <w:kern w:val="0"/>
          <w:sz w:val="24"/>
          <w:szCs w:val="24"/>
          <w:highlight w:val="none"/>
        </w:rPr>
        <w:t>评分标准</w:t>
      </w:r>
      <w:r>
        <w:rPr>
          <w:rFonts w:hint="eastAsia" w:ascii="宋体" w:hAnsi="宋体" w:cs="宋体"/>
          <w:b/>
          <w:color w:val="auto"/>
          <w:sz w:val="24"/>
          <w:szCs w:val="24"/>
          <w:highlight w:val="none"/>
        </w:rPr>
        <w:t>（各标段分别评标）</w:t>
      </w:r>
    </w:p>
    <w:p w14:paraId="7B8A53A5">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rPr>
        <w:t>综合评分法：供应商综合得分（100分）</w:t>
      </w:r>
      <w:r>
        <w:rPr>
          <w:rFonts w:hint="eastAsia" w:ascii="宋体" w:hAnsi="宋体" w:eastAsia="宋体" w:cs="宋体"/>
          <w:b w:val="0"/>
          <w:bCs w:val="0"/>
          <w:color w:val="auto"/>
          <w:kern w:val="0"/>
          <w:sz w:val="24"/>
          <w:szCs w:val="24"/>
          <w:highlight w:val="none"/>
          <w:lang w:val="en-US" w:eastAsia="zh-CN" w:bidi="ar"/>
        </w:rPr>
        <w:t>=报价部分（</w:t>
      </w:r>
      <w:r>
        <w:rPr>
          <w:rFonts w:hint="eastAsia" w:ascii="宋体" w:hAnsi="宋体" w:cs="宋体"/>
          <w:b w:val="0"/>
          <w:bCs w:val="0"/>
          <w:color w:val="auto"/>
          <w:kern w:val="0"/>
          <w:sz w:val="24"/>
          <w:szCs w:val="24"/>
          <w:highlight w:val="none"/>
          <w:lang w:val="en-US" w:eastAsia="zh-CN" w:bidi="ar"/>
        </w:rPr>
        <w:t>20</w:t>
      </w:r>
      <w:r>
        <w:rPr>
          <w:rFonts w:hint="eastAsia" w:ascii="宋体" w:hAnsi="宋体" w:eastAsia="宋体" w:cs="宋体"/>
          <w:b w:val="0"/>
          <w:bCs w:val="0"/>
          <w:color w:val="auto"/>
          <w:kern w:val="0"/>
          <w:sz w:val="24"/>
          <w:szCs w:val="24"/>
          <w:highlight w:val="none"/>
          <w:lang w:val="en-US" w:eastAsia="zh-CN" w:bidi="ar"/>
        </w:rPr>
        <w:t>分）</w:t>
      </w:r>
      <w:r>
        <w:rPr>
          <w:rFonts w:hint="eastAsia" w:ascii="宋体" w:hAnsi="宋体" w:cs="宋体"/>
          <w:b w:val="0"/>
          <w:bCs w:val="0"/>
          <w:color w:val="auto"/>
          <w:kern w:val="0"/>
          <w:sz w:val="24"/>
          <w:szCs w:val="24"/>
          <w:highlight w:val="none"/>
          <w:lang w:val="en-US" w:eastAsia="zh-CN" w:bidi="ar"/>
        </w:rPr>
        <w:t>+技术方案及其他</w:t>
      </w:r>
      <w:r>
        <w:rPr>
          <w:rFonts w:hint="eastAsia" w:ascii="宋体" w:hAnsi="宋体" w:eastAsia="宋体" w:cs="宋体"/>
          <w:color w:val="auto"/>
          <w:kern w:val="0"/>
          <w:sz w:val="24"/>
          <w:szCs w:val="24"/>
          <w:highlight w:val="none"/>
          <w:lang w:eastAsia="zh-CN" w:bidi="ar"/>
        </w:rPr>
        <w:t>（</w:t>
      </w:r>
      <w:r>
        <w:rPr>
          <w:rFonts w:hint="eastAsia" w:ascii="宋体" w:hAnsi="宋体" w:cs="宋体"/>
          <w:color w:val="auto"/>
          <w:kern w:val="0"/>
          <w:sz w:val="24"/>
          <w:szCs w:val="24"/>
          <w:highlight w:val="none"/>
          <w:lang w:val="en-US" w:eastAsia="zh-CN" w:bidi="ar"/>
        </w:rPr>
        <w:t>50</w:t>
      </w:r>
      <w:r>
        <w:rPr>
          <w:rFonts w:hint="eastAsia" w:ascii="宋体" w:hAnsi="宋体" w:eastAsia="宋体" w:cs="宋体"/>
          <w:color w:val="auto"/>
          <w:kern w:val="0"/>
          <w:sz w:val="24"/>
          <w:szCs w:val="24"/>
          <w:highlight w:val="none"/>
          <w:lang w:val="en-US" w:eastAsia="zh-CN" w:bidi="ar"/>
        </w:rPr>
        <w:t>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+人员</w:t>
      </w:r>
      <w:r>
        <w:rPr>
          <w:rFonts w:hint="eastAsia" w:ascii="宋体" w:hAnsi="宋体" w:cs="宋体"/>
          <w:color w:val="auto"/>
          <w:kern w:val="0"/>
          <w:sz w:val="24"/>
          <w:szCs w:val="24"/>
          <w:highlight w:val="none"/>
          <w:lang w:val="en-US" w:eastAsia="zh-CN" w:bidi="ar"/>
        </w:rPr>
        <w:t>配置</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15</w:t>
      </w:r>
      <w:r>
        <w:rPr>
          <w:rFonts w:hint="eastAsia" w:ascii="宋体" w:hAnsi="宋体" w:eastAsia="宋体" w:cs="宋体"/>
          <w:color w:val="auto"/>
          <w:kern w:val="0"/>
          <w:sz w:val="24"/>
          <w:szCs w:val="24"/>
          <w:highlight w:val="none"/>
          <w:lang w:val="en-US" w:eastAsia="zh-CN" w:bidi="ar"/>
        </w:rPr>
        <w:t>分）</w:t>
      </w:r>
      <w:r>
        <w:rPr>
          <w:rFonts w:hint="eastAsia" w:ascii="宋体" w:hAnsi="宋体" w:eastAsia="宋体" w:cs="宋体"/>
          <w:color w:val="auto"/>
          <w:kern w:val="2"/>
          <w:sz w:val="24"/>
          <w:szCs w:val="24"/>
          <w:highlight w:val="none"/>
          <w:lang w:val="en-US" w:eastAsia="zh-CN" w:bidi="ar"/>
        </w:rPr>
        <w:t>+</w:t>
      </w:r>
      <w:r>
        <w:rPr>
          <w:rFonts w:hint="eastAsia" w:ascii="宋体" w:hAnsi="宋体" w:cs="宋体"/>
          <w:color w:val="auto"/>
          <w:kern w:val="0"/>
          <w:sz w:val="24"/>
          <w:szCs w:val="24"/>
          <w:highlight w:val="none"/>
          <w:lang w:val="en-US" w:eastAsia="zh-CN" w:bidi="ar"/>
        </w:rPr>
        <w:t>履约能力</w:t>
      </w:r>
      <w:r>
        <w:rPr>
          <w:rFonts w:hint="eastAsia" w:ascii="宋体" w:hAnsi="宋体" w:eastAsia="宋体" w:cs="宋体"/>
          <w:color w:val="auto"/>
          <w:kern w:val="0"/>
          <w:sz w:val="24"/>
          <w:szCs w:val="24"/>
          <w:highlight w:val="none"/>
          <w:lang w:eastAsia="zh-CN" w:bidi="ar"/>
        </w:rPr>
        <w:t>（</w:t>
      </w:r>
      <w:r>
        <w:rPr>
          <w:rFonts w:hint="eastAsia" w:ascii="宋体" w:hAnsi="宋体" w:cs="宋体"/>
          <w:color w:val="auto"/>
          <w:kern w:val="0"/>
          <w:sz w:val="24"/>
          <w:szCs w:val="24"/>
          <w:highlight w:val="none"/>
          <w:lang w:val="en-US" w:eastAsia="zh-CN" w:bidi="ar"/>
        </w:rPr>
        <w:t>15</w:t>
      </w:r>
      <w:r>
        <w:rPr>
          <w:rFonts w:hint="eastAsia" w:ascii="宋体" w:hAnsi="宋体" w:eastAsia="宋体" w:cs="宋体"/>
          <w:color w:val="auto"/>
          <w:kern w:val="0"/>
          <w:sz w:val="24"/>
          <w:szCs w:val="24"/>
          <w:highlight w:val="none"/>
          <w:lang w:val="en-US" w:eastAsia="zh-CN" w:bidi="ar"/>
        </w:rPr>
        <w:t>分</w:t>
      </w:r>
      <w:r>
        <w:rPr>
          <w:rFonts w:hint="eastAsia" w:ascii="宋体" w:hAnsi="宋体" w:eastAsia="宋体" w:cs="宋体"/>
          <w:color w:val="auto"/>
          <w:kern w:val="0"/>
          <w:sz w:val="24"/>
          <w:szCs w:val="24"/>
          <w:highlight w:val="none"/>
          <w:lang w:eastAsia="zh-CN" w:bidi="ar"/>
        </w:rPr>
        <w:t>）</w:t>
      </w:r>
    </w:p>
    <w:p w14:paraId="5EA32087">
      <w:pPr>
        <w:keepNext w:val="0"/>
        <w:keepLines w:val="0"/>
        <w:pageBreakBefore w:val="0"/>
        <w:widowControl w:val="0"/>
        <w:tabs>
          <w:tab w:val="left" w:pos="-3420"/>
          <w:tab w:val="left" w:pos="162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技术得分与商务得分均由各个评委打分直接平均所得。</w:t>
      </w:r>
    </w:p>
    <w:p w14:paraId="594D571D">
      <w:pPr>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w:t>
      </w:r>
      <w:r>
        <w:rPr>
          <w:rFonts w:hint="eastAsia" w:ascii="宋体" w:hAnsi="宋体" w:cs="宋体"/>
          <w:b/>
          <w:color w:val="auto"/>
          <w:kern w:val="0"/>
          <w:sz w:val="24"/>
          <w:szCs w:val="24"/>
          <w:highlight w:val="none"/>
          <w:lang w:val="en-US" w:eastAsia="zh-CN"/>
        </w:rPr>
        <w:t>一</w:t>
      </w:r>
      <w:r>
        <w:rPr>
          <w:rFonts w:hint="eastAsia" w:ascii="宋体" w:hAnsi="宋体" w:eastAsia="宋体" w:cs="宋体"/>
          <w:b/>
          <w:color w:val="auto"/>
          <w:kern w:val="0"/>
          <w:sz w:val="24"/>
          <w:szCs w:val="24"/>
          <w:highlight w:val="none"/>
        </w:rPr>
        <w:t>）</w:t>
      </w:r>
      <w:r>
        <w:rPr>
          <w:rFonts w:hint="eastAsia" w:ascii="宋体" w:hAnsi="宋体" w:eastAsia="宋体" w:cs="宋体"/>
          <w:b/>
          <w:bCs/>
          <w:color w:val="auto"/>
          <w:sz w:val="24"/>
          <w:szCs w:val="24"/>
          <w:highlight w:val="none"/>
        </w:rPr>
        <w:t>投标报价（</w:t>
      </w:r>
      <w:r>
        <w:rPr>
          <w:rFonts w:hint="eastAsia" w:ascii="宋体" w:hAnsi="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p w14:paraId="1BD17C8A">
      <w:pPr>
        <w:pStyle w:val="32"/>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第一步：投标报价低于或等于财政预算价格的，为有效投标报价。投标报价超过</w:t>
      </w:r>
      <w:r>
        <w:rPr>
          <w:rFonts w:hint="eastAsia"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rPr>
        <w:t>的为无效投标报价。无效投标报价的投标文件不进行评审，也不得标。</w:t>
      </w:r>
    </w:p>
    <w:p w14:paraId="09638576">
      <w:pPr>
        <w:keepNext w:val="0"/>
        <w:keepLines w:val="0"/>
        <w:pageBreakBefore w:val="0"/>
        <w:kinsoku/>
        <w:wordWrap/>
        <w:overflowPunct/>
        <w:topLinePunct w:val="0"/>
        <w:autoSpaceDE/>
        <w:autoSpaceDN/>
        <w:bidi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第二步：满足招标文件要求且投标价格最低</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为评标基准价（即</w:t>
      </w:r>
      <w:r>
        <w:rPr>
          <w:rFonts w:hint="eastAsia" w:ascii="宋体" w:hAnsi="宋体" w:eastAsia="宋体" w:cs="宋体"/>
          <w:color w:val="auto"/>
          <w:sz w:val="24"/>
          <w:szCs w:val="24"/>
          <w:highlight w:val="none"/>
          <w:lang w:val="en-US" w:eastAsia="zh-CN"/>
        </w:rPr>
        <w:t>优惠</w:t>
      </w:r>
      <w:r>
        <w:rPr>
          <w:rFonts w:hint="eastAsia" w:ascii="宋体" w:hAnsi="宋体" w:eastAsia="宋体" w:cs="宋体"/>
          <w:color w:val="auto"/>
          <w:sz w:val="24"/>
          <w:szCs w:val="24"/>
          <w:highlight w:val="none"/>
          <w:lang w:eastAsia="zh-CN"/>
        </w:rPr>
        <w:t>率</w:t>
      </w:r>
      <w:r>
        <w:rPr>
          <w:rFonts w:hint="eastAsia" w:ascii="宋体" w:hAnsi="宋体" w:eastAsia="宋体" w:cs="宋体"/>
          <w:color w:val="auto"/>
          <w:sz w:val="24"/>
          <w:szCs w:val="24"/>
          <w:highlight w:val="none"/>
        </w:rPr>
        <w:t>最</w:t>
      </w:r>
      <w:r>
        <w:rPr>
          <w:rFonts w:hint="eastAsia" w:ascii="宋体" w:hAnsi="宋体" w:eastAsia="宋体" w:cs="宋体"/>
          <w:color w:val="auto"/>
          <w:sz w:val="24"/>
          <w:szCs w:val="24"/>
          <w:highlight w:val="none"/>
          <w:lang w:eastAsia="zh-CN"/>
        </w:rPr>
        <w:t>低</w:t>
      </w:r>
      <w:r>
        <w:rPr>
          <w:rFonts w:hint="eastAsia" w:ascii="宋体" w:hAnsi="宋体" w:eastAsia="宋体" w:cs="宋体"/>
          <w:color w:val="auto"/>
          <w:sz w:val="24"/>
          <w:szCs w:val="24"/>
          <w:highlight w:val="none"/>
        </w:rPr>
        <w:t>的报价折算后为基准价），其价格分为满分。其他投标人的价格分统一按照下列公式计算：</w:t>
      </w:r>
    </w:p>
    <w:p w14:paraId="381086C0">
      <w:pPr>
        <w:pStyle w:val="32"/>
        <w:spacing w:line="360" w:lineRule="auto"/>
        <w:ind w:firstLine="480" w:firstLineChars="20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投标报价得分＝（</w:t>
      </w:r>
      <w:r>
        <w:rPr>
          <w:rFonts w:hint="eastAsia" w:hAnsi="宋体" w:eastAsia="宋体" w:cs="宋体"/>
          <w:color w:val="auto"/>
          <w:sz w:val="24"/>
          <w:szCs w:val="24"/>
          <w:highlight w:val="none"/>
          <w:lang w:val="en-US" w:eastAsia="zh-CN"/>
        </w:rPr>
        <w:t>评标</w:t>
      </w:r>
      <w:r>
        <w:rPr>
          <w:rFonts w:hint="eastAsia" w:ascii="宋体" w:hAnsi="宋体" w:eastAsia="宋体" w:cs="宋体"/>
          <w:color w:val="auto"/>
          <w:sz w:val="24"/>
          <w:szCs w:val="24"/>
          <w:highlight w:val="none"/>
        </w:rPr>
        <w:t>基准价/投标报价）×</w:t>
      </w:r>
      <w:r>
        <w:rPr>
          <w:rFonts w:hint="eastAsia"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％×100</w:t>
      </w:r>
    </w:p>
    <w:p w14:paraId="1FDEBFA2">
      <w:pPr>
        <w:widowControl w:val="0"/>
        <w:spacing w:line="360" w:lineRule="auto"/>
        <w:jc w:val="left"/>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（二）技术方案及其他（</w:t>
      </w:r>
      <w:r>
        <w:rPr>
          <w:rFonts w:hint="eastAsia" w:ascii="宋体" w:hAnsi="宋体" w:cs="宋体"/>
          <w:b/>
          <w:bCs/>
          <w:color w:val="auto"/>
          <w:sz w:val="24"/>
          <w:szCs w:val="24"/>
          <w:highlight w:val="none"/>
          <w:lang w:val="en-US" w:eastAsia="zh-CN" w:bidi="ar-SA"/>
        </w:rPr>
        <w:t>50</w:t>
      </w:r>
      <w:r>
        <w:rPr>
          <w:rFonts w:hint="default" w:ascii="宋体" w:hAnsi="宋体" w:eastAsia="宋体" w:cs="宋体"/>
          <w:b/>
          <w:bCs/>
          <w:color w:val="auto"/>
          <w:sz w:val="24"/>
          <w:szCs w:val="24"/>
          <w:highlight w:val="none"/>
          <w:lang w:val="en-US" w:eastAsia="zh-CN" w:bidi="ar-SA"/>
        </w:rPr>
        <w:t>分</w:t>
      </w:r>
      <w:r>
        <w:rPr>
          <w:rFonts w:hint="eastAsia" w:ascii="宋体" w:hAnsi="宋体" w:eastAsia="宋体" w:cs="宋体"/>
          <w:b/>
          <w:bCs/>
          <w:color w:val="auto"/>
          <w:sz w:val="24"/>
          <w:szCs w:val="24"/>
          <w:highlight w:val="none"/>
          <w:lang w:val="en-US" w:eastAsia="zh-CN" w:bidi="ar-SA"/>
        </w:rPr>
        <w:t>）</w:t>
      </w:r>
    </w:p>
    <w:p w14:paraId="7EA8315B">
      <w:pPr>
        <w:spacing w:line="440" w:lineRule="exact"/>
        <w:ind w:firstLine="500"/>
        <w:outlineLvl w:val="9"/>
        <w:rPr>
          <w:rFonts w:hint="default" w:ascii="宋体" w:hAnsi="宋体" w:eastAsia="宋体" w:cs="宋体"/>
          <w:b w:val="0"/>
          <w:color w:val="auto"/>
          <w:spacing w:val="7"/>
          <w:sz w:val="24"/>
          <w:szCs w:val="24"/>
          <w:highlight w:val="none"/>
        </w:rPr>
      </w:pPr>
      <w:r>
        <w:rPr>
          <w:rFonts w:hint="default" w:ascii="宋体" w:hAnsi="宋体" w:eastAsia="宋体" w:cs="宋体"/>
          <w:b w:val="0"/>
          <w:color w:val="auto"/>
          <w:spacing w:val="7"/>
          <w:sz w:val="24"/>
          <w:szCs w:val="22"/>
          <w:highlight w:val="none"/>
          <w:lang w:val="en-US" w:eastAsia="zh-CN" w:bidi="ar-SA"/>
        </w:rPr>
        <w:t>2.1.环境影响评价报告技术评估方案</w:t>
      </w:r>
    </w:p>
    <w:p w14:paraId="5EEB6F2D">
      <w:pPr>
        <w:spacing w:line="440" w:lineRule="exact"/>
        <w:ind w:firstLine="500"/>
        <w:outlineLvl w:val="9"/>
        <w:rPr>
          <w:rFonts w:hint="eastAsia" w:ascii="宋体" w:hAnsi="宋体" w:eastAsia="宋体" w:cs="宋体"/>
          <w:color w:val="auto"/>
          <w:kern w:val="0"/>
          <w:sz w:val="24"/>
          <w:szCs w:val="24"/>
          <w:highlight w:val="none"/>
          <w:lang w:bidi="ar"/>
        </w:rPr>
      </w:pPr>
      <w:r>
        <w:rPr>
          <w:rFonts w:hint="default" w:ascii="宋体" w:hAnsi="宋体" w:eastAsia="宋体" w:cs="宋体"/>
          <w:b w:val="0"/>
          <w:color w:val="auto"/>
          <w:spacing w:val="7"/>
          <w:sz w:val="24"/>
          <w:szCs w:val="22"/>
          <w:highlight w:val="none"/>
          <w:lang w:val="en-US" w:eastAsia="zh-CN" w:bidi="ar-SA"/>
        </w:rPr>
        <w:t>投标人提供针对本项目的环境影响评价报告技术评估方案</w:t>
      </w:r>
      <w:r>
        <w:rPr>
          <w:rFonts w:hint="eastAsia" w:ascii="宋体" w:hAnsi="宋体" w:eastAsia="宋体" w:cs="宋体"/>
          <w:b w:val="0"/>
          <w:color w:val="auto"/>
          <w:spacing w:val="7"/>
          <w:sz w:val="24"/>
          <w:szCs w:val="22"/>
          <w:highlight w:val="none"/>
          <w:lang w:val="en-US" w:eastAsia="zh-CN" w:bidi="ar-SA"/>
        </w:rPr>
        <w:t>，包括：</w:t>
      </w:r>
      <w:r>
        <w:rPr>
          <w:rFonts w:hint="default" w:ascii="宋体" w:hAnsi="宋体" w:eastAsia="宋体" w:cs="宋体"/>
          <w:b w:val="0"/>
          <w:color w:val="auto"/>
          <w:spacing w:val="7"/>
          <w:sz w:val="24"/>
          <w:szCs w:val="22"/>
          <w:highlight w:val="none"/>
          <w:lang w:val="en-US" w:eastAsia="zh-CN" w:bidi="ar-SA"/>
        </w:rPr>
        <w:t>①</w:t>
      </w:r>
      <w:r>
        <w:rPr>
          <w:rFonts w:hint="eastAsia" w:ascii="宋体" w:hAnsi="宋体" w:eastAsia="宋体" w:cs="宋体"/>
          <w:b w:val="0"/>
          <w:color w:val="auto"/>
          <w:spacing w:val="7"/>
          <w:sz w:val="24"/>
          <w:szCs w:val="22"/>
          <w:highlight w:val="none"/>
          <w:lang w:val="en-US" w:eastAsia="zh-CN" w:bidi="ar-SA"/>
        </w:rPr>
        <w:t>项目背景及</w:t>
      </w:r>
      <w:r>
        <w:rPr>
          <w:rFonts w:hint="eastAsia" w:ascii="宋体" w:hAnsi="宋体" w:eastAsia="宋体" w:cs="宋体"/>
          <w:color w:val="auto"/>
          <w:sz w:val="24"/>
          <w:szCs w:val="24"/>
          <w:highlight w:val="none"/>
        </w:rPr>
        <w:t>现状情况</w:t>
      </w:r>
      <w:r>
        <w:rPr>
          <w:rFonts w:hint="eastAsia" w:ascii="宋体" w:hAnsi="宋体" w:eastAsia="宋体" w:cs="宋体"/>
          <w:b w:val="0"/>
          <w:color w:val="auto"/>
          <w:spacing w:val="7"/>
          <w:sz w:val="24"/>
          <w:szCs w:val="22"/>
          <w:highlight w:val="none"/>
          <w:lang w:val="en-US" w:eastAsia="zh-CN" w:bidi="ar-SA"/>
        </w:rPr>
        <w:t>、</w:t>
      </w:r>
      <w:r>
        <w:rPr>
          <w:rFonts w:hint="default" w:ascii="宋体" w:hAnsi="宋体" w:eastAsia="宋体" w:cs="宋体"/>
          <w:b w:val="0"/>
          <w:color w:val="auto"/>
          <w:spacing w:val="7"/>
          <w:sz w:val="24"/>
          <w:szCs w:val="22"/>
          <w:highlight w:val="none"/>
          <w:lang w:val="en-US" w:eastAsia="zh-CN" w:bidi="ar-SA"/>
        </w:rPr>
        <w:t>②评估程序、③工作流程、④技术要点、⑤</w:t>
      </w:r>
      <w:r>
        <w:rPr>
          <w:rFonts w:hint="eastAsia" w:ascii="宋体" w:hAnsi="宋体" w:eastAsia="宋体" w:cs="宋体"/>
          <w:b w:val="0"/>
          <w:color w:val="auto"/>
          <w:spacing w:val="7"/>
          <w:sz w:val="24"/>
          <w:szCs w:val="22"/>
          <w:highlight w:val="none"/>
          <w:lang w:val="en-US" w:eastAsia="zh-CN" w:bidi="ar-SA"/>
        </w:rPr>
        <w:t>对本项目的重点难点分析认</w:t>
      </w:r>
      <w:r>
        <w:rPr>
          <w:rFonts w:hint="eastAsia" w:ascii="宋体" w:hAnsi="宋体" w:eastAsia="Times New Roman" w:cs="宋体"/>
          <w:color w:val="auto"/>
          <w:sz w:val="24"/>
          <w:szCs w:val="24"/>
          <w:highlight w:val="none"/>
        </w:rPr>
        <w:t>识</w:t>
      </w:r>
      <w:r>
        <w:rPr>
          <w:rFonts w:hint="eastAsia" w:ascii="宋体" w:hAnsi="宋体" w:eastAsia="宋体" w:cs="宋体"/>
          <w:color w:val="auto"/>
          <w:sz w:val="24"/>
          <w:szCs w:val="24"/>
          <w:highlight w:val="none"/>
          <w:lang w:val="en-US" w:eastAsia="zh-CN"/>
        </w:rPr>
        <w:t>及</w:t>
      </w:r>
      <w:r>
        <w:rPr>
          <w:rFonts w:hint="default" w:ascii="宋体" w:hAnsi="宋体" w:eastAsia="宋体" w:cs="宋体"/>
          <w:b w:val="0"/>
          <w:color w:val="auto"/>
          <w:spacing w:val="7"/>
          <w:sz w:val="24"/>
          <w:szCs w:val="22"/>
          <w:highlight w:val="none"/>
          <w:lang w:val="en-US" w:eastAsia="zh-CN" w:bidi="ar-SA"/>
        </w:rPr>
        <w:t>针对重点难点的应对策略等</w:t>
      </w:r>
      <w:r>
        <w:rPr>
          <w:rFonts w:hint="eastAsia" w:ascii="宋体" w:hAnsi="宋体" w:eastAsia="宋体" w:cs="宋体"/>
          <w:b w:val="0"/>
          <w:color w:val="auto"/>
          <w:spacing w:val="7"/>
          <w:sz w:val="24"/>
          <w:szCs w:val="22"/>
          <w:highlight w:val="none"/>
          <w:lang w:val="en-US" w:eastAsia="zh-CN" w:bidi="ar-SA"/>
        </w:rPr>
        <w:t>。</w:t>
      </w:r>
      <w:r>
        <w:rPr>
          <w:rFonts w:hint="eastAsia" w:ascii="宋体" w:hAnsi="宋体" w:eastAsia="宋体" w:cs="宋体"/>
          <w:color w:val="auto"/>
          <w:kern w:val="0"/>
          <w:sz w:val="24"/>
          <w:szCs w:val="24"/>
          <w:highlight w:val="none"/>
          <w:lang w:bidi="ar"/>
        </w:rPr>
        <w:t>以上</w:t>
      </w:r>
      <w:r>
        <w:rPr>
          <w:rFonts w:hint="eastAsia" w:ascii="宋体" w:hAnsi="宋体" w:eastAsia="宋体" w:cs="宋体"/>
          <w:color w:val="auto"/>
          <w:kern w:val="0"/>
          <w:sz w:val="24"/>
          <w:szCs w:val="24"/>
          <w:highlight w:val="none"/>
          <w:lang w:val="en-US" w:eastAsia="zh-CN" w:bidi="ar"/>
        </w:rPr>
        <w:t>五</w:t>
      </w:r>
      <w:r>
        <w:rPr>
          <w:rFonts w:hint="eastAsia" w:ascii="宋体" w:hAnsi="宋体" w:eastAsia="宋体" w:cs="宋体"/>
          <w:color w:val="auto"/>
          <w:kern w:val="0"/>
          <w:sz w:val="24"/>
          <w:szCs w:val="24"/>
          <w:highlight w:val="none"/>
          <w:lang w:bidi="ar"/>
        </w:rPr>
        <w:t>点内容，每具有一项内容得</w:t>
      </w: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bidi="ar"/>
        </w:rPr>
        <w:t>分，缺少不得分，满分</w:t>
      </w:r>
      <w:r>
        <w:rPr>
          <w:rFonts w:hint="eastAsia" w:ascii="宋体" w:hAnsi="宋体" w:cs="宋体"/>
          <w:color w:val="auto"/>
          <w:kern w:val="0"/>
          <w:sz w:val="24"/>
          <w:szCs w:val="24"/>
          <w:highlight w:val="none"/>
          <w:lang w:val="en-US" w:eastAsia="zh-CN" w:bidi="ar"/>
        </w:rPr>
        <w:t>25</w:t>
      </w:r>
      <w:r>
        <w:rPr>
          <w:rFonts w:hint="eastAsia" w:ascii="宋体" w:hAnsi="宋体" w:eastAsia="宋体" w:cs="宋体"/>
          <w:color w:val="auto"/>
          <w:kern w:val="0"/>
          <w:sz w:val="24"/>
          <w:szCs w:val="24"/>
          <w:highlight w:val="none"/>
          <w:lang w:bidi="ar"/>
        </w:rPr>
        <w:t>分。</w:t>
      </w:r>
    </w:p>
    <w:p w14:paraId="38FB8255">
      <w:pPr>
        <w:spacing w:line="440" w:lineRule="exact"/>
        <w:ind w:firstLine="500"/>
        <w:outlineLvl w:val="9"/>
        <w:rPr>
          <w:rFonts w:hint="default" w:ascii="宋体" w:hAnsi="宋体" w:eastAsia="宋体" w:cs="宋体"/>
          <w:b w:val="0"/>
          <w:color w:val="auto"/>
          <w:spacing w:val="7"/>
          <w:sz w:val="24"/>
          <w:szCs w:val="24"/>
          <w:highlight w:val="none"/>
        </w:rPr>
      </w:pPr>
      <w:r>
        <w:rPr>
          <w:rFonts w:hint="default" w:ascii="宋体" w:hAnsi="宋体" w:eastAsia="宋体" w:cs="宋体"/>
          <w:b w:val="0"/>
          <w:color w:val="auto"/>
          <w:spacing w:val="7"/>
          <w:sz w:val="24"/>
          <w:szCs w:val="22"/>
          <w:highlight w:val="none"/>
          <w:lang w:val="en-US" w:eastAsia="zh-CN" w:bidi="ar-SA"/>
        </w:rPr>
        <w:t>2.</w:t>
      </w:r>
      <w:r>
        <w:rPr>
          <w:rFonts w:hint="eastAsia" w:ascii="宋体" w:hAnsi="宋体" w:cs="宋体"/>
          <w:b w:val="0"/>
          <w:color w:val="auto"/>
          <w:spacing w:val="7"/>
          <w:sz w:val="24"/>
          <w:szCs w:val="22"/>
          <w:highlight w:val="none"/>
          <w:lang w:val="en-US" w:eastAsia="zh-CN" w:bidi="ar-SA"/>
        </w:rPr>
        <w:t>2</w:t>
      </w:r>
      <w:r>
        <w:rPr>
          <w:rFonts w:hint="default" w:ascii="宋体" w:hAnsi="宋体" w:eastAsia="宋体" w:cs="宋体"/>
          <w:b w:val="0"/>
          <w:color w:val="auto"/>
          <w:spacing w:val="7"/>
          <w:sz w:val="24"/>
          <w:szCs w:val="22"/>
          <w:highlight w:val="none"/>
          <w:lang w:val="en-US" w:eastAsia="zh-CN" w:bidi="ar-SA"/>
        </w:rPr>
        <w:t>.质量保证与质量控制方案</w:t>
      </w:r>
    </w:p>
    <w:p w14:paraId="22540388">
      <w:pPr>
        <w:spacing w:line="440" w:lineRule="exact"/>
        <w:ind w:firstLine="500"/>
        <w:outlineLvl w:val="9"/>
        <w:rPr>
          <w:rFonts w:hint="eastAsia" w:ascii="宋体" w:hAnsi="宋体" w:eastAsia="宋体" w:cs="宋体"/>
          <w:color w:val="auto"/>
          <w:kern w:val="0"/>
          <w:sz w:val="24"/>
          <w:szCs w:val="24"/>
          <w:highlight w:val="none"/>
          <w:lang w:bidi="ar"/>
        </w:rPr>
      </w:pPr>
      <w:r>
        <w:rPr>
          <w:rFonts w:hint="default" w:ascii="宋体" w:hAnsi="宋体" w:eastAsia="宋体" w:cs="宋体"/>
          <w:b w:val="0"/>
          <w:color w:val="auto"/>
          <w:spacing w:val="7"/>
          <w:sz w:val="24"/>
          <w:szCs w:val="22"/>
          <w:highlight w:val="none"/>
          <w:lang w:val="en-US" w:eastAsia="zh-CN" w:bidi="ar-SA"/>
        </w:rPr>
        <w:t>投标人提供针对本项目的质量保证与质量控制方案</w:t>
      </w:r>
      <w:r>
        <w:rPr>
          <w:rFonts w:hint="eastAsia" w:ascii="宋体" w:hAnsi="宋体" w:eastAsia="宋体" w:cs="宋体"/>
          <w:b w:val="0"/>
          <w:color w:val="auto"/>
          <w:spacing w:val="7"/>
          <w:sz w:val="24"/>
          <w:szCs w:val="22"/>
          <w:highlight w:val="none"/>
          <w:lang w:val="en-US" w:eastAsia="zh-CN" w:bidi="ar-SA"/>
        </w:rPr>
        <w:t>，包括：</w:t>
      </w:r>
      <w:r>
        <w:rPr>
          <w:rFonts w:hint="default" w:ascii="宋体" w:hAnsi="宋体" w:eastAsia="宋体" w:cs="宋体"/>
          <w:b w:val="0"/>
          <w:color w:val="auto"/>
          <w:spacing w:val="7"/>
          <w:sz w:val="24"/>
          <w:szCs w:val="22"/>
          <w:highlight w:val="none"/>
          <w:lang w:val="en-US" w:eastAsia="zh-CN" w:bidi="ar-SA"/>
        </w:rPr>
        <w:t>①内控体系文件</w:t>
      </w:r>
      <w:r>
        <w:rPr>
          <w:rFonts w:hint="eastAsia" w:ascii="宋体" w:hAnsi="宋体" w:eastAsia="宋体" w:cs="宋体"/>
          <w:b w:val="0"/>
          <w:color w:val="auto"/>
          <w:spacing w:val="7"/>
          <w:sz w:val="24"/>
          <w:szCs w:val="22"/>
          <w:highlight w:val="none"/>
          <w:lang w:val="en-US" w:eastAsia="zh-CN" w:bidi="ar-SA"/>
        </w:rPr>
        <w:t>、</w:t>
      </w:r>
      <w:r>
        <w:rPr>
          <w:rFonts w:hint="eastAsia" w:ascii="宋体" w:hAnsi="宋体" w:cs="宋体"/>
          <w:b w:val="0"/>
          <w:color w:val="auto"/>
          <w:spacing w:val="7"/>
          <w:sz w:val="24"/>
          <w:szCs w:val="22"/>
          <w:highlight w:val="none"/>
          <w:lang w:val="en-US" w:eastAsia="zh-CN" w:bidi="ar-SA"/>
        </w:rPr>
        <w:t>②</w:t>
      </w:r>
      <w:r>
        <w:rPr>
          <w:rFonts w:hint="default" w:ascii="宋体" w:hAnsi="宋体" w:eastAsia="宋体" w:cs="宋体"/>
          <w:b w:val="0"/>
          <w:color w:val="auto"/>
          <w:spacing w:val="7"/>
          <w:sz w:val="24"/>
          <w:szCs w:val="22"/>
          <w:highlight w:val="none"/>
          <w:lang w:val="en-US" w:eastAsia="zh-CN" w:bidi="ar-SA"/>
        </w:rPr>
        <w:t>人员管理方案</w:t>
      </w:r>
      <w:r>
        <w:rPr>
          <w:rFonts w:hint="eastAsia" w:ascii="宋体" w:hAnsi="宋体" w:eastAsia="宋体" w:cs="宋体"/>
          <w:b w:val="0"/>
          <w:color w:val="auto"/>
          <w:spacing w:val="7"/>
          <w:sz w:val="24"/>
          <w:szCs w:val="22"/>
          <w:highlight w:val="none"/>
          <w:lang w:val="en-US" w:eastAsia="zh-CN" w:bidi="ar-SA"/>
        </w:rPr>
        <w:t>、</w:t>
      </w:r>
      <w:r>
        <w:rPr>
          <w:rFonts w:hint="eastAsia" w:ascii="宋体" w:hAnsi="宋体" w:cs="宋体"/>
          <w:b w:val="0"/>
          <w:color w:val="auto"/>
          <w:spacing w:val="7"/>
          <w:sz w:val="24"/>
          <w:szCs w:val="22"/>
          <w:highlight w:val="none"/>
          <w:lang w:val="en-US" w:eastAsia="zh-CN" w:bidi="ar-SA"/>
        </w:rPr>
        <w:t>③</w:t>
      </w:r>
      <w:r>
        <w:rPr>
          <w:rFonts w:hint="default" w:ascii="宋体" w:hAnsi="宋体" w:eastAsia="宋体" w:cs="宋体"/>
          <w:b w:val="0"/>
          <w:color w:val="auto"/>
          <w:spacing w:val="7"/>
          <w:sz w:val="24"/>
          <w:szCs w:val="22"/>
          <w:highlight w:val="none"/>
          <w:lang w:val="en-US" w:eastAsia="zh-CN" w:bidi="ar-SA"/>
        </w:rPr>
        <w:t>质控措施等</w:t>
      </w:r>
      <w:r>
        <w:rPr>
          <w:rFonts w:hint="eastAsia" w:ascii="宋体" w:hAnsi="宋体" w:eastAsia="宋体" w:cs="宋体"/>
          <w:b w:val="0"/>
          <w:color w:val="auto"/>
          <w:spacing w:val="7"/>
          <w:sz w:val="24"/>
          <w:szCs w:val="22"/>
          <w:highlight w:val="none"/>
          <w:lang w:val="en-US" w:eastAsia="zh-CN" w:bidi="ar-SA"/>
        </w:rPr>
        <w:t>。</w:t>
      </w:r>
      <w:r>
        <w:rPr>
          <w:rFonts w:hint="eastAsia" w:ascii="宋体" w:hAnsi="宋体" w:eastAsia="宋体" w:cs="宋体"/>
          <w:color w:val="auto"/>
          <w:kern w:val="0"/>
          <w:sz w:val="24"/>
          <w:szCs w:val="24"/>
          <w:highlight w:val="none"/>
          <w:lang w:bidi="ar"/>
        </w:rPr>
        <w:t>以上</w:t>
      </w:r>
      <w:r>
        <w:rPr>
          <w:rFonts w:hint="eastAsia" w:ascii="宋体" w:hAnsi="宋体" w:cs="宋体"/>
          <w:color w:val="auto"/>
          <w:kern w:val="0"/>
          <w:sz w:val="24"/>
          <w:szCs w:val="24"/>
          <w:highlight w:val="none"/>
          <w:lang w:val="en-US" w:eastAsia="zh-CN" w:bidi="ar"/>
        </w:rPr>
        <w:t>三</w:t>
      </w:r>
      <w:r>
        <w:rPr>
          <w:rFonts w:hint="eastAsia" w:ascii="宋体" w:hAnsi="宋体" w:eastAsia="宋体" w:cs="宋体"/>
          <w:color w:val="auto"/>
          <w:kern w:val="0"/>
          <w:sz w:val="24"/>
          <w:szCs w:val="24"/>
          <w:highlight w:val="none"/>
          <w:lang w:bidi="ar"/>
        </w:rPr>
        <w:t>点内容，每具有一项内容得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分，缺少不得分，满分</w:t>
      </w:r>
      <w:r>
        <w:rPr>
          <w:rFonts w:hint="eastAsia" w:ascii="宋体" w:hAnsi="宋体" w:cs="宋体"/>
          <w:color w:val="auto"/>
          <w:kern w:val="0"/>
          <w:sz w:val="24"/>
          <w:szCs w:val="24"/>
          <w:highlight w:val="none"/>
          <w:lang w:val="en-US" w:eastAsia="zh-CN" w:bidi="ar"/>
        </w:rPr>
        <w:t>9</w:t>
      </w:r>
      <w:r>
        <w:rPr>
          <w:rFonts w:hint="eastAsia" w:ascii="宋体" w:hAnsi="宋体" w:eastAsia="宋体" w:cs="宋体"/>
          <w:color w:val="auto"/>
          <w:kern w:val="0"/>
          <w:sz w:val="24"/>
          <w:szCs w:val="24"/>
          <w:highlight w:val="none"/>
          <w:lang w:bidi="ar"/>
        </w:rPr>
        <w:t>分。</w:t>
      </w:r>
    </w:p>
    <w:p w14:paraId="23366E4D">
      <w:pPr>
        <w:spacing w:line="440" w:lineRule="exact"/>
        <w:ind w:firstLine="500"/>
        <w:outlineLvl w:val="9"/>
        <w:rPr>
          <w:rFonts w:hint="default" w:ascii="宋体" w:hAnsi="宋体" w:eastAsia="宋体" w:cs="宋体"/>
          <w:b w:val="0"/>
          <w:color w:val="auto"/>
          <w:spacing w:val="7"/>
          <w:sz w:val="24"/>
          <w:szCs w:val="24"/>
          <w:highlight w:val="none"/>
        </w:rPr>
      </w:pPr>
      <w:r>
        <w:rPr>
          <w:rFonts w:hint="default" w:ascii="宋体" w:hAnsi="宋体" w:eastAsia="宋体" w:cs="宋体"/>
          <w:b w:val="0"/>
          <w:color w:val="auto"/>
          <w:spacing w:val="7"/>
          <w:sz w:val="24"/>
          <w:szCs w:val="22"/>
          <w:highlight w:val="none"/>
          <w:lang w:val="en-US" w:eastAsia="zh-CN" w:bidi="ar-SA"/>
        </w:rPr>
        <w:t>2.</w:t>
      </w:r>
      <w:r>
        <w:rPr>
          <w:rFonts w:hint="eastAsia" w:ascii="宋体" w:hAnsi="宋体" w:cs="宋体"/>
          <w:b w:val="0"/>
          <w:color w:val="auto"/>
          <w:spacing w:val="7"/>
          <w:sz w:val="24"/>
          <w:szCs w:val="22"/>
          <w:highlight w:val="none"/>
          <w:lang w:val="en-US" w:eastAsia="zh-CN" w:bidi="ar-SA"/>
        </w:rPr>
        <w:t>3</w:t>
      </w:r>
      <w:r>
        <w:rPr>
          <w:rFonts w:hint="default" w:ascii="宋体" w:hAnsi="宋体" w:eastAsia="宋体" w:cs="宋体"/>
          <w:b w:val="0"/>
          <w:color w:val="auto"/>
          <w:spacing w:val="7"/>
          <w:sz w:val="24"/>
          <w:szCs w:val="22"/>
          <w:highlight w:val="none"/>
          <w:lang w:val="en-US" w:eastAsia="zh-CN" w:bidi="ar-SA"/>
        </w:rPr>
        <w:t>.项目管理制度</w:t>
      </w:r>
    </w:p>
    <w:p w14:paraId="5D7F96DC">
      <w:pPr>
        <w:spacing w:line="440" w:lineRule="exact"/>
        <w:ind w:firstLine="500"/>
        <w:outlineLvl w:val="9"/>
        <w:rPr>
          <w:rFonts w:hint="eastAsia" w:ascii="宋体" w:hAnsi="宋体" w:eastAsia="宋体" w:cs="宋体"/>
          <w:color w:val="auto"/>
          <w:kern w:val="0"/>
          <w:sz w:val="24"/>
          <w:szCs w:val="24"/>
          <w:highlight w:val="none"/>
          <w:lang w:bidi="ar"/>
        </w:rPr>
      </w:pPr>
      <w:r>
        <w:rPr>
          <w:rFonts w:hint="default" w:ascii="宋体" w:hAnsi="宋体" w:eastAsia="宋体" w:cs="宋体"/>
          <w:b w:val="0"/>
          <w:color w:val="auto"/>
          <w:spacing w:val="7"/>
          <w:sz w:val="24"/>
          <w:szCs w:val="22"/>
          <w:highlight w:val="none"/>
          <w:lang w:val="en-US" w:eastAsia="zh-CN" w:bidi="ar-SA"/>
        </w:rPr>
        <w:t>投标人提供针对本项目的项目管理制度</w:t>
      </w:r>
      <w:r>
        <w:rPr>
          <w:rFonts w:hint="eastAsia" w:ascii="宋体" w:hAnsi="宋体" w:eastAsia="宋体" w:cs="宋体"/>
          <w:b w:val="0"/>
          <w:color w:val="auto"/>
          <w:spacing w:val="7"/>
          <w:sz w:val="24"/>
          <w:szCs w:val="22"/>
          <w:highlight w:val="none"/>
          <w:lang w:val="en-US" w:eastAsia="zh-CN" w:bidi="ar-SA"/>
        </w:rPr>
        <w:t>，包括：</w:t>
      </w:r>
      <w:r>
        <w:rPr>
          <w:rFonts w:hint="default" w:ascii="宋体" w:hAnsi="宋体" w:eastAsia="宋体" w:cs="宋体"/>
          <w:b w:val="0"/>
          <w:color w:val="auto"/>
          <w:spacing w:val="7"/>
          <w:sz w:val="24"/>
          <w:szCs w:val="22"/>
          <w:highlight w:val="none"/>
          <w:lang w:val="en-US" w:eastAsia="zh-CN" w:bidi="ar-SA"/>
        </w:rPr>
        <w:t>①现场踏勘制度、②专家咨询制度、③文档管理制度</w:t>
      </w:r>
      <w:r>
        <w:rPr>
          <w:rFonts w:hint="eastAsia" w:ascii="宋体" w:hAnsi="宋体" w:eastAsia="宋体" w:cs="宋体"/>
          <w:b w:val="0"/>
          <w:color w:val="auto"/>
          <w:spacing w:val="7"/>
          <w:sz w:val="24"/>
          <w:szCs w:val="22"/>
          <w:highlight w:val="none"/>
          <w:lang w:val="en-US" w:eastAsia="zh-CN" w:bidi="ar-SA"/>
        </w:rPr>
        <w:t>、</w:t>
      </w:r>
      <w:r>
        <w:rPr>
          <w:rFonts w:hint="default" w:ascii="宋体" w:hAnsi="宋体" w:eastAsia="宋体" w:cs="宋体"/>
          <w:b w:val="0"/>
          <w:color w:val="auto"/>
          <w:spacing w:val="7"/>
          <w:sz w:val="24"/>
          <w:szCs w:val="22"/>
          <w:highlight w:val="none"/>
          <w:lang w:val="en-US" w:eastAsia="zh-CN" w:bidi="ar-SA"/>
        </w:rPr>
        <w:t>④改进评估过程与时效方面的具体措施方案等</w:t>
      </w:r>
      <w:r>
        <w:rPr>
          <w:rFonts w:hint="eastAsia" w:ascii="宋体" w:hAnsi="宋体" w:eastAsia="宋体" w:cs="宋体"/>
          <w:b w:val="0"/>
          <w:color w:val="auto"/>
          <w:spacing w:val="7"/>
          <w:sz w:val="24"/>
          <w:szCs w:val="22"/>
          <w:highlight w:val="none"/>
          <w:lang w:val="en-US" w:eastAsia="zh-CN" w:bidi="ar-SA"/>
        </w:rPr>
        <w:t>。</w:t>
      </w:r>
      <w:r>
        <w:rPr>
          <w:rFonts w:hint="eastAsia" w:ascii="宋体" w:hAnsi="宋体" w:eastAsia="宋体" w:cs="宋体"/>
          <w:color w:val="auto"/>
          <w:kern w:val="0"/>
          <w:sz w:val="24"/>
          <w:szCs w:val="24"/>
          <w:highlight w:val="none"/>
          <w:lang w:bidi="ar"/>
        </w:rPr>
        <w:t>以上</w:t>
      </w:r>
      <w:r>
        <w:rPr>
          <w:rFonts w:hint="eastAsia" w:ascii="宋体" w:hAnsi="宋体" w:eastAsia="宋体" w:cs="宋体"/>
          <w:color w:val="auto"/>
          <w:kern w:val="0"/>
          <w:sz w:val="24"/>
          <w:szCs w:val="24"/>
          <w:highlight w:val="none"/>
          <w:lang w:val="en-US" w:eastAsia="zh-CN" w:bidi="ar"/>
        </w:rPr>
        <w:t>四</w:t>
      </w:r>
      <w:r>
        <w:rPr>
          <w:rFonts w:hint="eastAsia" w:ascii="宋体" w:hAnsi="宋体" w:eastAsia="宋体" w:cs="宋体"/>
          <w:color w:val="auto"/>
          <w:kern w:val="0"/>
          <w:sz w:val="24"/>
          <w:szCs w:val="24"/>
          <w:highlight w:val="none"/>
          <w:lang w:bidi="ar"/>
        </w:rPr>
        <w:t>点内容，每具有一项内容得</w:t>
      </w:r>
      <w:r>
        <w:rPr>
          <w:rFonts w:hint="eastAsia" w:ascii="宋体" w:hAnsi="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bidi="ar"/>
        </w:rPr>
        <w:t>分，缺少不得分，满分</w:t>
      </w:r>
      <w:r>
        <w:rPr>
          <w:rFonts w:hint="eastAsia" w:ascii="宋体" w:hAnsi="宋体" w:eastAsia="宋体" w:cs="宋体"/>
          <w:color w:val="auto"/>
          <w:kern w:val="0"/>
          <w:sz w:val="24"/>
          <w:szCs w:val="24"/>
          <w:highlight w:val="none"/>
          <w:lang w:val="en-US" w:eastAsia="zh-CN" w:bidi="ar"/>
        </w:rPr>
        <w:t>1</w:t>
      </w:r>
      <w:r>
        <w:rPr>
          <w:rFonts w:hint="eastAsia" w:ascii="宋体" w:hAnsi="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分。</w:t>
      </w:r>
    </w:p>
    <w:p w14:paraId="7DDD17B2">
      <w:pPr>
        <w:spacing w:line="440" w:lineRule="exact"/>
        <w:contextualSpacing/>
        <w:rPr>
          <w:rFonts w:hint="eastAsia" w:eastAsia="宋体" w:asciiTheme="minorHAnsi" w:hAnsiTheme="minorHAnsi" w:cstheme="minorBidi"/>
          <w:b/>
          <w:bCs/>
          <w:color w:val="auto"/>
          <w:szCs w:val="24"/>
          <w:highlight w:val="none"/>
          <w:lang w:eastAsia="zh-CN"/>
        </w:rPr>
      </w:pPr>
      <w:bookmarkStart w:id="16" w:name="_GoBack"/>
      <w:bookmarkEnd w:id="16"/>
      <w:r>
        <w:rPr>
          <w:rStyle w:val="29"/>
          <w:rFonts w:hint="eastAsia" w:eastAsia="宋体" w:cstheme="minorBidi"/>
          <w:b/>
          <w:bCs/>
          <w:color w:val="auto"/>
          <w:highlight w:val="none"/>
          <w:lang w:eastAsia="zh-CN"/>
        </w:rPr>
        <w:t>（</w:t>
      </w:r>
      <w:r>
        <w:rPr>
          <w:rStyle w:val="29"/>
          <w:rFonts w:hint="eastAsia" w:eastAsia="宋体" w:cstheme="minorBidi"/>
          <w:b/>
          <w:bCs/>
          <w:color w:val="auto"/>
          <w:highlight w:val="none"/>
          <w:lang w:val="en-US" w:eastAsia="zh-CN"/>
        </w:rPr>
        <w:t>三</w:t>
      </w:r>
      <w:r>
        <w:rPr>
          <w:rStyle w:val="29"/>
          <w:rFonts w:hint="eastAsia" w:eastAsia="宋体" w:cstheme="minorBidi"/>
          <w:b/>
          <w:bCs/>
          <w:color w:val="auto"/>
          <w:highlight w:val="none"/>
          <w:lang w:eastAsia="zh-CN"/>
        </w:rPr>
        <w:t>）</w:t>
      </w:r>
      <w:r>
        <w:rPr>
          <w:rStyle w:val="29"/>
          <w:rFonts w:hint="default" w:cstheme="minorBidi"/>
          <w:b/>
          <w:bCs/>
          <w:color w:val="auto"/>
          <w:highlight w:val="none"/>
        </w:rPr>
        <w:t xml:space="preserve">人员配置 </w:t>
      </w:r>
      <w:r>
        <w:rPr>
          <w:rStyle w:val="29"/>
          <w:rFonts w:hint="eastAsia" w:eastAsia="宋体" w:cstheme="minorBidi"/>
          <w:b/>
          <w:bCs/>
          <w:color w:val="auto"/>
          <w:highlight w:val="none"/>
          <w:lang w:eastAsia="zh-CN"/>
        </w:rPr>
        <w:t>（</w:t>
      </w:r>
      <w:r>
        <w:rPr>
          <w:rStyle w:val="29"/>
          <w:rFonts w:hint="eastAsia" w:cstheme="minorBidi"/>
          <w:b/>
          <w:bCs/>
          <w:color w:val="auto"/>
          <w:highlight w:val="none"/>
          <w:lang w:val="en-US" w:eastAsia="zh-CN"/>
        </w:rPr>
        <w:t>15</w:t>
      </w:r>
      <w:r>
        <w:rPr>
          <w:rStyle w:val="29"/>
          <w:rFonts w:hint="default" w:cstheme="minorBidi"/>
          <w:b/>
          <w:bCs/>
          <w:color w:val="auto"/>
          <w:highlight w:val="none"/>
        </w:rPr>
        <w:t>分</w:t>
      </w:r>
      <w:r>
        <w:rPr>
          <w:rStyle w:val="29"/>
          <w:rFonts w:hint="eastAsia" w:eastAsia="宋体" w:cstheme="minorBidi"/>
          <w:b/>
          <w:bCs/>
          <w:color w:val="auto"/>
          <w:highlight w:val="none"/>
          <w:lang w:eastAsia="zh-CN"/>
        </w:rPr>
        <w:t>）</w:t>
      </w:r>
    </w:p>
    <w:p w14:paraId="30BB8B96">
      <w:pPr>
        <w:spacing w:line="440" w:lineRule="exact"/>
        <w:ind w:firstLine="480"/>
        <w:contextualSpacing/>
        <w:rPr>
          <w:rFonts w:asciiTheme="minorHAnsi" w:hAnsiTheme="minorHAnsi" w:eastAsiaTheme="minorEastAsia" w:cstheme="minorBidi"/>
          <w:color w:val="auto"/>
          <w:szCs w:val="24"/>
          <w:highlight w:val="none"/>
        </w:rPr>
      </w:pPr>
      <w:r>
        <w:rPr>
          <w:rStyle w:val="29"/>
          <w:rFonts w:hint="default" w:cstheme="minorBidi"/>
          <w:color w:val="auto"/>
          <w:highlight w:val="none"/>
        </w:rPr>
        <w:t>3.1.</w:t>
      </w:r>
      <w:r>
        <w:rPr>
          <w:rStyle w:val="18"/>
          <w:rFonts w:asciiTheme="minorHAnsi" w:hAnsiTheme="minorHAnsi" w:eastAsiaTheme="minorEastAsia" w:cstheme="minorBidi"/>
          <w:color w:val="auto"/>
          <w:szCs w:val="24"/>
          <w:highlight w:val="none"/>
        </w:rPr>
        <w:t xml:space="preserve"> </w:t>
      </w:r>
      <w:r>
        <w:rPr>
          <w:rStyle w:val="29"/>
          <w:rFonts w:hint="default" w:cstheme="minorBidi"/>
          <w:color w:val="auto"/>
          <w:highlight w:val="none"/>
        </w:rPr>
        <w:t>项目负责人</w:t>
      </w:r>
    </w:p>
    <w:p w14:paraId="5DEFF4E6">
      <w:pPr>
        <w:spacing w:line="440" w:lineRule="exact"/>
        <w:ind w:firstLine="480"/>
        <w:contextualSpacing/>
        <w:rPr>
          <w:rFonts w:hint="eastAsia" w:ascii="宋体" w:hAnsi="宋体" w:eastAsia="宋体" w:cs="宋体"/>
          <w:b w:val="0"/>
          <w:bCs w:val="0"/>
          <w:color w:val="auto"/>
          <w:kern w:val="0"/>
          <w:sz w:val="24"/>
          <w:szCs w:val="24"/>
          <w:highlight w:val="none"/>
          <w:lang w:val="en-US" w:eastAsia="zh-CN"/>
        </w:rPr>
      </w:pPr>
      <w:r>
        <w:rPr>
          <w:rStyle w:val="29"/>
          <w:rFonts w:hint="default" w:cstheme="minorBidi"/>
          <w:color w:val="auto"/>
          <w:highlight w:val="none"/>
        </w:rPr>
        <w:t>拟投入本项目负责人</w:t>
      </w:r>
      <w:r>
        <w:rPr>
          <w:rFonts w:hint="eastAsia" w:ascii="宋体" w:hAnsi="宋体" w:eastAsiaTheme="minorEastAsia" w:cstheme="minorBidi"/>
          <w:color w:val="auto"/>
          <w:sz w:val="24"/>
          <w:szCs w:val="24"/>
          <w:highlight w:val="none"/>
        </w:rPr>
        <w:t>具有环境影响评价工程师</w:t>
      </w:r>
      <w:r>
        <w:rPr>
          <w:rFonts w:hint="eastAsia" w:ascii="宋体" w:hAnsi="宋体" w:eastAsiaTheme="minorEastAsia" w:cstheme="minorBidi"/>
          <w:color w:val="auto"/>
          <w:sz w:val="24"/>
          <w:szCs w:val="24"/>
          <w:highlight w:val="none"/>
          <w:lang w:val="en-US" w:eastAsia="zh-CN"/>
        </w:rPr>
        <w:t>资格证书</w:t>
      </w:r>
      <w:r>
        <w:rPr>
          <w:rFonts w:hint="eastAsia" w:ascii="宋体" w:hAnsi="宋体" w:eastAsiaTheme="minorEastAsia" w:cstheme="minorBidi"/>
          <w:color w:val="auto"/>
          <w:sz w:val="24"/>
          <w:szCs w:val="24"/>
          <w:highlight w:val="none"/>
        </w:rPr>
        <w:t>或</w:t>
      </w:r>
      <w:r>
        <w:rPr>
          <w:rFonts w:hint="eastAsia" w:ascii="宋体" w:hAnsi="宋体" w:eastAsiaTheme="minorEastAsia" w:cstheme="minorBidi"/>
          <w:color w:val="auto"/>
          <w:sz w:val="24"/>
          <w:szCs w:val="24"/>
          <w:highlight w:val="none"/>
          <w:lang w:val="en-US" w:eastAsia="zh-CN"/>
        </w:rPr>
        <w:t>生态环境等相关专业</w:t>
      </w:r>
      <w:r>
        <w:rPr>
          <w:rStyle w:val="29"/>
          <w:rFonts w:hint="default" w:cstheme="minorBidi"/>
          <w:color w:val="auto"/>
          <w:highlight w:val="none"/>
        </w:rPr>
        <w:t>高级技术职称</w:t>
      </w:r>
      <w:r>
        <w:rPr>
          <w:rFonts w:hint="eastAsia" w:ascii="宋体" w:hAnsi="宋体" w:eastAsiaTheme="minorEastAsia" w:cstheme="minorBidi"/>
          <w:color w:val="auto"/>
          <w:sz w:val="24"/>
          <w:szCs w:val="24"/>
          <w:highlight w:val="none"/>
        </w:rPr>
        <w:t>的得</w:t>
      </w:r>
      <w:r>
        <w:rPr>
          <w:rFonts w:hint="eastAsia" w:ascii="宋体" w:hAnsi="宋体" w:eastAsiaTheme="minorEastAsia" w:cstheme="minorBidi"/>
          <w:color w:val="auto"/>
          <w:sz w:val="24"/>
          <w:szCs w:val="24"/>
          <w:highlight w:val="none"/>
          <w:lang w:val="en-US" w:eastAsia="zh-CN"/>
        </w:rPr>
        <w:t>10</w:t>
      </w:r>
      <w:r>
        <w:rPr>
          <w:rFonts w:hint="eastAsia" w:ascii="宋体" w:hAnsi="宋体" w:eastAsiaTheme="minorEastAsia" w:cstheme="minorBidi"/>
          <w:color w:val="auto"/>
          <w:sz w:val="24"/>
          <w:szCs w:val="24"/>
          <w:highlight w:val="none"/>
        </w:rPr>
        <w:t>分</w:t>
      </w:r>
      <w:r>
        <w:rPr>
          <w:rFonts w:hint="eastAsia" w:ascii="宋体" w:hAnsi="宋体" w:eastAsiaTheme="minorEastAsia" w:cstheme="minorBidi"/>
          <w:color w:val="auto"/>
          <w:sz w:val="24"/>
          <w:szCs w:val="24"/>
          <w:highlight w:val="none"/>
          <w:lang w:eastAsia="zh-CN"/>
        </w:rPr>
        <w:t>；</w:t>
      </w:r>
      <w:r>
        <w:rPr>
          <w:rFonts w:hint="eastAsia" w:ascii="宋体" w:hAnsi="宋体" w:eastAsiaTheme="minorEastAsia" w:cstheme="minorBidi"/>
          <w:color w:val="auto"/>
          <w:sz w:val="24"/>
          <w:szCs w:val="24"/>
          <w:highlight w:val="none"/>
        </w:rPr>
        <w:t>具有</w:t>
      </w:r>
      <w:r>
        <w:rPr>
          <w:rFonts w:hint="eastAsia" w:ascii="宋体" w:hAnsi="宋体" w:eastAsiaTheme="minorEastAsia" w:cstheme="minorBidi"/>
          <w:color w:val="auto"/>
          <w:sz w:val="24"/>
          <w:szCs w:val="24"/>
          <w:highlight w:val="none"/>
          <w:lang w:val="en-US" w:eastAsia="zh-CN"/>
        </w:rPr>
        <w:t>生态环境等相关专业中</w:t>
      </w:r>
      <w:r>
        <w:rPr>
          <w:rFonts w:hint="default" w:ascii="宋体" w:hAnsi="宋体" w:eastAsia="宋体" w:cstheme="minorBidi"/>
          <w:color w:val="auto"/>
          <w:sz w:val="24"/>
          <w:szCs w:val="24"/>
          <w:highlight w:val="none"/>
        </w:rPr>
        <w:t>级技术职称</w:t>
      </w:r>
      <w:r>
        <w:rPr>
          <w:rFonts w:hint="eastAsia" w:ascii="宋体" w:hAnsi="宋体" w:eastAsiaTheme="minorEastAsia" w:cstheme="minorBidi"/>
          <w:color w:val="auto"/>
          <w:sz w:val="24"/>
          <w:szCs w:val="24"/>
          <w:highlight w:val="none"/>
        </w:rPr>
        <w:t>的得</w:t>
      </w:r>
      <w:r>
        <w:rPr>
          <w:rFonts w:hint="eastAsia" w:ascii="宋体" w:hAnsi="宋体" w:eastAsiaTheme="minorEastAsia" w:cstheme="minorBidi"/>
          <w:color w:val="auto"/>
          <w:sz w:val="24"/>
          <w:szCs w:val="24"/>
          <w:highlight w:val="none"/>
          <w:lang w:val="en-US" w:eastAsia="zh-CN"/>
        </w:rPr>
        <w:t>5</w:t>
      </w:r>
      <w:r>
        <w:rPr>
          <w:rFonts w:hint="eastAsia" w:ascii="宋体" w:hAnsi="宋体" w:eastAsiaTheme="minorEastAsia" w:cstheme="minorBidi"/>
          <w:color w:val="auto"/>
          <w:sz w:val="24"/>
          <w:szCs w:val="24"/>
          <w:highlight w:val="none"/>
        </w:rPr>
        <w:t>分，最高得</w:t>
      </w:r>
      <w:r>
        <w:rPr>
          <w:rFonts w:hint="eastAsia" w:ascii="宋体" w:hAnsi="宋体" w:eastAsiaTheme="minorEastAsia" w:cstheme="minorBidi"/>
          <w:color w:val="auto"/>
          <w:sz w:val="24"/>
          <w:szCs w:val="24"/>
          <w:highlight w:val="none"/>
          <w:lang w:val="en-US" w:eastAsia="zh-CN"/>
        </w:rPr>
        <w:t>10</w:t>
      </w:r>
      <w:r>
        <w:rPr>
          <w:rFonts w:hint="eastAsia" w:ascii="宋体" w:hAnsi="宋体" w:eastAsiaTheme="minorEastAsia" w:cstheme="minorBidi"/>
          <w:color w:val="auto"/>
          <w:sz w:val="24"/>
          <w:szCs w:val="24"/>
          <w:highlight w:val="none"/>
        </w:rPr>
        <w:t>分</w:t>
      </w:r>
      <w:r>
        <w:rPr>
          <w:rStyle w:val="29"/>
          <w:rFonts w:hint="default" w:cstheme="minorBidi"/>
          <w:color w:val="auto"/>
          <w:highlight w:val="none"/>
        </w:rPr>
        <w:t>。</w:t>
      </w:r>
      <w:r>
        <w:rPr>
          <w:rFonts w:hint="eastAsia" w:ascii="宋体" w:hAnsi="宋体" w:eastAsia="宋体" w:cs="宋体"/>
          <w:i w:val="0"/>
          <w:iCs w:val="0"/>
          <w:color w:val="auto"/>
          <w:kern w:val="0"/>
          <w:sz w:val="24"/>
          <w:szCs w:val="24"/>
          <w:highlight w:val="none"/>
          <w:u w:val="none"/>
          <w:lang w:val="en-US" w:eastAsia="zh-CN" w:bidi="ar"/>
        </w:rPr>
        <w:t>（投标文件中须提供</w:t>
      </w:r>
      <w:r>
        <w:rPr>
          <w:rFonts w:hint="eastAsia" w:ascii="宋体" w:hAnsi="宋体" w:eastAsia="宋体" w:cstheme="minorBidi"/>
          <w:color w:val="auto"/>
          <w:sz w:val="24"/>
          <w:szCs w:val="24"/>
          <w:highlight w:val="none"/>
          <w:lang w:val="en-US" w:eastAsia="zh-CN"/>
        </w:rPr>
        <w:t>相关证明材料</w:t>
      </w:r>
      <w:r>
        <w:rPr>
          <w:rFonts w:hint="eastAsia" w:ascii="宋体" w:hAnsi="宋体" w:eastAsia="宋体" w:cs="宋体"/>
          <w:i w:val="0"/>
          <w:iCs w:val="0"/>
          <w:color w:val="auto"/>
          <w:kern w:val="0"/>
          <w:sz w:val="24"/>
          <w:szCs w:val="24"/>
          <w:highlight w:val="none"/>
          <w:u w:val="none"/>
          <w:lang w:val="en-US" w:eastAsia="zh-CN" w:bidi="ar"/>
        </w:rPr>
        <w:t>及</w:t>
      </w:r>
      <w:r>
        <w:rPr>
          <w:rFonts w:hint="eastAsia" w:ascii="宋体" w:hAnsi="宋体" w:eastAsia="宋体" w:cs="宋体"/>
          <w:b w:val="0"/>
          <w:bCs w:val="0"/>
          <w:color w:val="auto"/>
          <w:kern w:val="0"/>
          <w:sz w:val="24"/>
          <w:szCs w:val="24"/>
          <w:highlight w:val="none"/>
          <w:lang w:val="en-US" w:eastAsia="zh-CN"/>
        </w:rPr>
        <w:t>投标人为该人员缴纳的社保记录</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至少包括2025年10月份、2025年11月份、2025年12月份</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，未提供或提供不全不得分。）</w:t>
      </w:r>
    </w:p>
    <w:p w14:paraId="4A0225C5">
      <w:pPr>
        <w:spacing w:line="440" w:lineRule="exact"/>
        <w:ind w:firstLine="480"/>
        <w:contextualSpacing/>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3.2团队成员（含项目负责人）具有</w:t>
      </w:r>
      <w:r>
        <w:rPr>
          <w:rFonts w:hint="eastAsia" w:ascii="宋体" w:hAnsi="宋体" w:eastAsiaTheme="minorEastAsia" w:cstheme="minorBidi"/>
          <w:color w:val="auto"/>
          <w:sz w:val="24"/>
          <w:szCs w:val="24"/>
          <w:highlight w:val="none"/>
          <w:lang w:val="en-US" w:eastAsia="zh-CN"/>
        </w:rPr>
        <w:t>生态环境等相关专业</w:t>
      </w:r>
      <w:r>
        <w:rPr>
          <w:rFonts w:hint="eastAsia" w:ascii="宋体" w:hAnsi="宋体" w:cs="宋体"/>
          <w:b w:val="0"/>
          <w:bCs w:val="0"/>
          <w:color w:val="auto"/>
          <w:kern w:val="0"/>
          <w:sz w:val="24"/>
          <w:szCs w:val="24"/>
          <w:highlight w:val="none"/>
          <w:lang w:val="en-US" w:eastAsia="zh-CN"/>
        </w:rPr>
        <w:t>本科及以上学历的，有1个得2.5分，满分5分。</w:t>
      </w:r>
      <w:r>
        <w:rPr>
          <w:rFonts w:hint="eastAsia" w:ascii="宋体" w:hAnsi="宋体" w:eastAsia="宋体" w:cs="宋体"/>
          <w:i w:val="0"/>
          <w:iCs w:val="0"/>
          <w:color w:val="auto"/>
          <w:kern w:val="0"/>
          <w:sz w:val="24"/>
          <w:szCs w:val="24"/>
          <w:highlight w:val="none"/>
          <w:u w:val="none"/>
          <w:lang w:val="en-US" w:eastAsia="zh-CN" w:bidi="ar"/>
        </w:rPr>
        <w:t>（投标文件中须提供</w:t>
      </w:r>
      <w:r>
        <w:rPr>
          <w:rFonts w:hint="eastAsia" w:ascii="宋体" w:hAnsi="宋体" w:eastAsia="宋体" w:cstheme="minorBidi"/>
          <w:color w:val="auto"/>
          <w:sz w:val="24"/>
          <w:szCs w:val="24"/>
          <w:highlight w:val="none"/>
          <w:lang w:val="en-US" w:eastAsia="zh-CN"/>
        </w:rPr>
        <w:t>相关证明材料</w:t>
      </w:r>
      <w:r>
        <w:rPr>
          <w:rFonts w:hint="eastAsia" w:ascii="宋体" w:hAnsi="宋体" w:eastAsia="宋体" w:cs="宋体"/>
          <w:b w:val="0"/>
          <w:bCs w:val="0"/>
          <w:color w:val="auto"/>
          <w:kern w:val="0"/>
          <w:sz w:val="24"/>
          <w:szCs w:val="24"/>
          <w:highlight w:val="none"/>
          <w:lang w:val="en-US" w:eastAsia="zh-CN"/>
        </w:rPr>
        <w:t>，未提供或提供不全不得分。）</w:t>
      </w:r>
    </w:p>
    <w:p w14:paraId="3CE43EE5">
      <w:pPr>
        <w:spacing w:line="440" w:lineRule="exact"/>
        <w:contextualSpacing/>
        <w:rPr>
          <w:rFonts w:hint="eastAsia" w:eastAsia="宋体" w:asciiTheme="minorHAnsi" w:hAnsiTheme="minorHAnsi" w:cstheme="minorBidi"/>
          <w:b/>
          <w:bCs/>
          <w:color w:val="auto"/>
          <w:szCs w:val="24"/>
          <w:highlight w:val="none"/>
          <w:lang w:eastAsia="zh-CN"/>
        </w:rPr>
      </w:pPr>
      <w:r>
        <w:rPr>
          <w:rStyle w:val="29"/>
          <w:rFonts w:hint="eastAsia" w:eastAsia="宋体" w:cstheme="minorBidi"/>
          <w:b/>
          <w:bCs/>
          <w:color w:val="auto"/>
          <w:highlight w:val="none"/>
          <w:lang w:eastAsia="zh-CN"/>
        </w:rPr>
        <w:t>（</w:t>
      </w:r>
      <w:r>
        <w:rPr>
          <w:rStyle w:val="29"/>
          <w:rFonts w:hint="eastAsia" w:eastAsia="宋体" w:cstheme="minorBidi"/>
          <w:b/>
          <w:bCs/>
          <w:color w:val="auto"/>
          <w:highlight w:val="none"/>
          <w:lang w:val="en-US" w:eastAsia="zh-CN"/>
        </w:rPr>
        <w:t>四</w:t>
      </w:r>
      <w:r>
        <w:rPr>
          <w:rStyle w:val="29"/>
          <w:rFonts w:hint="eastAsia" w:eastAsia="宋体" w:cstheme="minorBidi"/>
          <w:b/>
          <w:bCs/>
          <w:color w:val="auto"/>
          <w:highlight w:val="none"/>
          <w:lang w:eastAsia="zh-CN"/>
        </w:rPr>
        <w:t>）</w:t>
      </w:r>
      <w:r>
        <w:rPr>
          <w:rStyle w:val="29"/>
          <w:rFonts w:hint="default" w:cstheme="minorBidi"/>
          <w:b/>
          <w:bCs/>
          <w:color w:val="auto"/>
          <w:highlight w:val="none"/>
        </w:rPr>
        <w:t xml:space="preserve">履约能力 </w:t>
      </w:r>
      <w:r>
        <w:rPr>
          <w:rStyle w:val="29"/>
          <w:rFonts w:hint="eastAsia" w:eastAsia="宋体" w:cstheme="minorBidi"/>
          <w:b/>
          <w:bCs/>
          <w:color w:val="auto"/>
          <w:highlight w:val="none"/>
          <w:lang w:eastAsia="zh-CN"/>
        </w:rPr>
        <w:t>（</w:t>
      </w:r>
      <w:r>
        <w:rPr>
          <w:rStyle w:val="29"/>
          <w:rFonts w:hint="eastAsia" w:cstheme="minorBidi"/>
          <w:b/>
          <w:bCs/>
          <w:color w:val="auto"/>
          <w:highlight w:val="none"/>
          <w:lang w:val="en-US" w:eastAsia="zh-CN"/>
        </w:rPr>
        <w:t>15</w:t>
      </w:r>
      <w:r>
        <w:rPr>
          <w:rStyle w:val="29"/>
          <w:rFonts w:hint="default" w:cstheme="minorBidi"/>
          <w:b/>
          <w:bCs/>
          <w:color w:val="auto"/>
          <w:highlight w:val="none"/>
        </w:rPr>
        <w:t>分</w:t>
      </w:r>
      <w:r>
        <w:rPr>
          <w:rStyle w:val="29"/>
          <w:rFonts w:hint="eastAsia" w:eastAsia="宋体" w:cstheme="minorBidi"/>
          <w:b/>
          <w:bCs/>
          <w:color w:val="auto"/>
          <w:highlight w:val="none"/>
          <w:lang w:eastAsia="zh-CN"/>
        </w:rPr>
        <w:t>）</w:t>
      </w:r>
    </w:p>
    <w:p w14:paraId="10D7A920">
      <w:pPr>
        <w:spacing w:line="440" w:lineRule="exact"/>
        <w:ind w:firstLine="480"/>
        <w:contextualSpacing/>
        <w:rPr>
          <w:rStyle w:val="29"/>
          <w:rFonts w:hint="default" w:asciiTheme="minorHAnsi" w:hAnsiTheme="minorHAnsi" w:eastAsiaTheme="minorEastAsia" w:cstheme="minorBidi"/>
          <w:color w:val="auto"/>
          <w:szCs w:val="24"/>
          <w:highlight w:val="none"/>
        </w:rPr>
      </w:pPr>
      <w:r>
        <w:rPr>
          <w:rStyle w:val="29"/>
          <w:rFonts w:hint="default" w:cstheme="minorBidi"/>
          <w:color w:val="auto"/>
          <w:highlight w:val="none"/>
        </w:rPr>
        <w:t>4.1.类似业绩</w:t>
      </w:r>
    </w:p>
    <w:p w14:paraId="7FD5134D">
      <w:pPr>
        <w:spacing w:line="440" w:lineRule="exact"/>
        <w:ind w:firstLine="480"/>
        <w:contextualSpacing/>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投标人202</w:t>
      </w: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年1月1日以来（以合同签订时间为准）实施过</w:t>
      </w:r>
      <w:r>
        <w:rPr>
          <w:rFonts w:hint="eastAsia" w:ascii="宋体" w:hAnsi="宋体" w:cs="宋体"/>
          <w:i w:val="0"/>
          <w:iCs w:val="0"/>
          <w:color w:val="auto"/>
          <w:kern w:val="0"/>
          <w:sz w:val="24"/>
          <w:szCs w:val="24"/>
          <w:highlight w:val="none"/>
          <w:u w:val="none"/>
          <w:lang w:val="en-US" w:eastAsia="zh-CN" w:bidi="ar"/>
        </w:rPr>
        <w:t>类似项目，每有1个得5分，满分15分。</w:t>
      </w:r>
      <w:r>
        <w:rPr>
          <w:rFonts w:hint="eastAsia" w:ascii="宋体" w:hAnsi="宋体" w:eastAsia="宋体" w:cs="宋体"/>
          <w:i w:val="0"/>
          <w:iCs w:val="0"/>
          <w:color w:val="auto"/>
          <w:kern w:val="0"/>
          <w:sz w:val="24"/>
          <w:szCs w:val="24"/>
          <w:highlight w:val="none"/>
          <w:u w:val="none"/>
          <w:lang w:val="en-US" w:eastAsia="zh-CN" w:bidi="ar"/>
        </w:rPr>
        <w:t>（需提供相关证明材料）。</w:t>
      </w:r>
    </w:p>
    <w:p w14:paraId="49863620">
      <w:pPr>
        <w:spacing w:line="440" w:lineRule="exact"/>
        <w:contextualSpacing/>
        <w:rPr>
          <w:rFonts w:hint="eastAsia" w:ascii="宋体" w:hAnsi="宋体" w:eastAsia="宋体" w:cs="宋体"/>
          <w:i w:val="0"/>
          <w:iCs w:val="0"/>
          <w:color w:val="auto"/>
          <w:kern w:val="0"/>
          <w:sz w:val="24"/>
          <w:szCs w:val="24"/>
          <w:highlight w:val="none"/>
          <w:u w:val="none"/>
          <w:lang w:val="en-US" w:eastAsia="zh-CN" w:bidi="ar"/>
        </w:rPr>
      </w:pPr>
    </w:p>
    <w:p w14:paraId="34757BEA">
      <w:pPr>
        <w:tabs>
          <w:tab w:val="left" w:pos="2870"/>
        </w:tabs>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注：1、报价超过</w:t>
      </w:r>
      <w:r>
        <w:rPr>
          <w:rFonts w:hint="eastAsia" w:ascii="宋体" w:hAnsi="宋体" w:eastAsia="宋体" w:cs="宋体"/>
          <w:color w:val="auto"/>
          <w:kern w:val="0"/>
          <w:sz w:val="24"/>
          <w:szCs w:val="24"/>
          <w:highlight w:val="none"/>
          <w:lang w:val="en-US" w:eastAsia="zh-CN"/>
        </w:rPr>
        <w:t>最高限价</w:t>
      </w:r>
      <w:r>
        <w:rPr>
          <w:rFonts w:hint="eastAsia" w:ascii="宋体" w:hAnsi="宋体" w:eastAsia="宋体" w:cs="宋体"/>
          <w:color w:val="auto"/>
          <w:kern w:val="0"/>
          <w:sz w:val="24"/>
          <w:szCs w:val="24"/>
          <w:highlight w:val="none"/>
        </w:rPr>
        <w:t>的将不进入综合评审程序，也不得标。</w:t>
      </w:r>
    </w:p>
    <w:p w14:paraId="2BBD7C94">
      <w:pPr>
        <w:numPr>
          <w:ilvl w:val="0"/>
          <w:numId w:val="5"/>
        </w:num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付款</w:t>
      </w:r>
      <w:r>
        <w:rPr>
          <w:rFonts w:hint="eastAsia" w:ascii="宋体" w:hAnsi="宋体" w:eastAsia="宋体" w:cs="宋体"/>
          <w:color w:val="auto"/>
          <w:kern w:val="0"/>
          <w:sz w:val="24"/>
          <w:szCs w:val="24"/>
          <w:highlight w:val="none"/>
          <w:lang w:val="en-US" w:eastAsia="zh-CN"/>
        </w:rPr>
        <w:t>方式</w:t>
      </w:r>
      <w:r>
        <w:rPr>
          <w:rFonts w:hint="eastAsia" w:ascii="宋体" w:hAnsi="宋体" w:eastAsia="宋体" w:cs="宋体"/>
          <w:color w:val="auto"/>
          <w:kern w:val="0"/>
          <w:sz w:val="24"/>
          <w:szCs w:val="24"/>
          <w:highlight w:val="none"/>
        </w:rPr>
        <w:t>、服务期</w:t>
      </w:r>
      <w:r>
        <w:rPr>
          <w:rFonts w:hint="eastAsia" w:ascii="宋体" w:hAnsi="宋体" w:cs="宋体"/>
          <w:color w:val="auto"/>
          <w:kern w:val="0"/>
          <w:sz w:val="24"/>
          <w:szCs w:val="24"/>
          <w:highlight w:val="none"/>
          <w:lang w:val="en-US" w:eastAsia="zh-CN"/>
        </w:rPr>
        <w:t>限</w:t>
      </w:r>
      <w:r>
        <w:rPr>
          <w:rFonts w:hint="eastAsia" w:ascii="宋体" w:hAnsi="宋体" w:eastAsia="宋体" w:cs="宋体"/>
          <w:color w:val="auto"/>
          <w:kern w:val="0"/>
          <w:sz w:val="24"/>
          <w:szCs w:val="24"/>
          <w:highlight w:val="none"/>
        </w:rPr>
        <w:t>如有负偏离的不得中标。</w:t>
      </w:r>
    </w:p>
    <w:p w14:paraId="3A0CF4D9">
      <w:p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、针对评分标准中评分的每一条，投标</w:t>
      </w:r>
      <w:r>
        <w:rPr>
          <w:rFonts w:hint="default" w:ascii="宋体" w:hAnsi="宋体" w:eastAsia="宋体" w:cs="宋体"/>
          <w:color w:val="auto"/>
          <w:kern w:val="0"/>
          <w:sz w:val="24"/>
          <w:szCs w:val="24"/>
          <w:highlight w:val="none"/>
          <w:lang w:val="en-US"/>
        </w:rPr>
        <w:t>人</w:t>
      </w:r>
      <w:r>
        <w:rPr>
          <w:rFonts w:hint="eastAsia" w:ascii="宋体" w:hAnsi="宋体" w:eastAsia="宋体" w:cs="宋体"/>
          <w:color w:val="auto"/>
          <w:kern w:val="0"/>
          <w:sz w:val="24"/>
          <w:szCs w:val="24"/>
          <w:highlight w:val="none"/>
        </w:rPr>
        <w:t>均应提供相关资料并作出相应说明供评委评判，不提供相关资料的视为不具备该项得分的条件。</w:t>
      </w:r>
    </w:p>
    <w:p w14:paraId="61154A05">
      <w:p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所有扫描件均须加盖投标人公章且</w:t>
      </w:r>
      <w:r>
        <w:rPr>
          <w:rFonts w:hint="eastAsia" w:ascii="宋体" w:hAnsi="宋体" w:eastAsia="宋体" w:cs="宋体"/>
          <w:color w:val="auto"/>
          <w:kern w:val="0"/>
          <w:sz w:val="24"/>
          <w:szCs w:val="24"/>
          <w:highlight w:val="none"/>
        </w:rPr>
        <w:t>字迹须</w:t>
      </w:r>
      <w:r>
        <w:rPr>
          <w:rFonts w:hint="eastAsia" w:ascii="宋体" w:hAnsi="宋体" w:eastAsia="宋体" w:cs="宋体"/>
          <w:color w:val="auto"/>
          <w:kern w:val="0"/>
          <w:sz w:val="24"/>
          <w:szCs w:val="24"/>
          <w:highlight w:val="none"/>
          <w:lang w:val="en-US" w:eastAsia="zh-CN"/>
        </w:rPr>
        <w:t>扫描</w:t>
      </w:r>
      <w:r>
        <w:rPr>
          <w:rFonts w:hint="eastAsia" w:ascii="宋体" w:hAnsi="宋体" w:eastAsia="宋体" w:cs="宋体"/>
          <w:color w:val="auto"/>
          <w:kern w:val="0"/>
          <w:sz w:val="24"/>
          <w:szCs w:val="24"/>
          <w:highlight w:val="none"/>
        </w:rPr>
        <w:t>清晰可见,</w:t>
      </w:r>
      <w:r>
        <w:rPr>
          <w:rFonts w:hint="eastAsia" w:ascii="宋体" w:hAnsi="宋体" w:eastAsia="宋体" w:cs="宋体"/>
          <w:color w:val="auto"/>
          <w:kern w:val="0"/>
          <w:sz w:val="24"/>
          <w:szCs w:val="24"/>
          <w:highlight w:val="none"/>
          <w:lang w:val="en-US" w:eastAsia="zh-CN"/>
        </w:rPr>
        <w:t>未加盖公章或</w:t>
      </w:r>
      <w:r>
        <w:rPr>
          <w:rFonts w:hint="eastAsia" w:ascii="宋体" w:hAnsi="宋体" w:eastAsia="宋体" w:cs="宋体"/>
          <w:color w:val="auto"/>
          <w:kern w:val="0"/>
          <w:sz w:val="24"/>
          <w:szCs w:val="24"/>
          <w:highlight w:val="none"/>
        </w:rPr>
        <w:t>字迹不清晰或</w:t>
      </w:r>
      <w:r>
        <w:rPr>
          <w:rFonts w:hint="eastAsia" w:ascii="宋体" w:hAnsi="宋体" w:eastAsia="宋体" w:cs="宋体"/>
          <w:color w:val="auto"/>
          <w:kern w:val="0"/>
          <w:sz w:val="24"/>
          <w:szCs w:val="24"/>
          <w:highlight w:val="none"/>
          <w:lang w:val="en-US" w:eastAsia="zh-CN"/>
        </w:rPr>
        <w:t>扫描</w:t>
      </w:r>
      <w:r>
        <w:rPr>
          <w:rFonts w:hint="eastAsia" w:ascii="宋体" w:hAnsi="宋体" w:eastAsia="宋体" w:cs="宋体"/>
          <w:color w:val="auto"/>
          <w:kern w:val="0"/>
          <w:sz w:val="24"/>
          <w:szCs w:val="24"/>
          <w:highlight w:val="none"/>
        </w:rPr>
        <w:t>不全，视为未提供。</w:t>
      </w:r>
    </w:p>
    <w:p w14:paraId="58606D4B">
      <w:p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、请按要求填写“技术、商务评分标准对应情况表”，以方便评审。</w:t>
      </w:r>
    </w:p>
    <w:p w14:paraId="62D3517C">
      <w:pPr>
        <w:tabs>
          <w:tab w:val="left" w:pos="2870"/>
        </w:tabs>
        <w:spacing w:line="360" w:lineRule="auto"/>
        <w:ind w:firstLine="422"/>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6</w:t>
      </w:r>
      <w:r>
        <w:rPr>
          <w:rFonts w:hint="eastAsia" w:ascii="宋体" w:hAnsi="宋体" w:eastAsia="宋体" w:cs="宋体"/>
          <w:b w:val="0"/>
          <w:bCs w:val="0"/>
          <w:color w:val="auto"/>
          <w:kern w:val="0"/>
          <w:sz w:val="24"/>
          <w:szCs w:val="24"/>
          <w:highlight w:val="none"/>
        </w:rPr>
        <w:t>、防止虚假应标，采购方保留调查的权利，并由此引发的一切调查与诉讼费用由投标方承担。</w:t>
      </w:r>
    </w:p>
    <w:p w14:paraId="6424B9F7">
      <w:pPr>
        <w:jc w:val="both"/>
        <w:rPr>
          <w:rFonts w:hint="eastAsia" w:ascii="宋体" w:hAnsi="宋体"/>
          <w:b/>
          <w:bCs/>
          <w:color w:val="auto"/>
          <w:sz w:val="44"/>
          <w:szCs w:val="44"/>
          <w:highlight w:val="none"/>
        </w:rPr>
      </w:pPr>
    </w:p>
    <w:p w14:paraId="6DDD8D5D">
      <w:pPr>
        <w:jc w:val="center"/>
        <w:rPr>
          <w:rFonts w:hint="eastAsia" w:ascii="宋体" w:hAnsi="宋体"/>
          <w:b/>
          <w:bCs/>
          <w:color w:val="auto"/>
          <w:sz w:val="44"/>
          <w:szCs w:val="44"/>
          <w:highlight w:val="none"/>
        </w:rPr>
      </w:pPr>
    </w:p>
    <w:p w14:paraId="54247B2B">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t>第六部分 合同主要条款</w:t>
      </w:r>
    </w:p>
    <w:bookmarkEnd w:id="5"/>
    <w:bookmarkEnd w:id="6"/>
    <w:bookmarkEnd w:id="7"/>
    <w:bookmarkEnd w:id="8"/>
    <w:bookmarkEnd w:id="9"/>
    <w:p w14:paraId="18478F87">
      <w:pPr>
        <w:widowControl w:val="0"/>
        <w:adjustRightInd w:val="0"/>
        <w:snapToGrid w:val="0"/>
        <w:spacing w:line="360" w:lineRule="auto"/>
        <w:jc w:val="both"/>
        <w:rPr>
          <w:rFonts w:hint="eastAsia" w:ascii="宋体" w:hAnsi="宋体" w:eastAsia="宋体" w:cs="宋体"/>
          <w:bCs/>
          <w:color w:val="auto"/>
          <w:kern w:val="1"/>
          <w:sz w:val="24"/>
          <w:szCs w:val="24"/>
          <w:highlight w:val="none"/>
        </w:rPr>
      </w:pPr>
      <w:r>
        <w:rPr>
          <w:rFonts w:hint="eastAsia" w:ascii="宋体" w:hAnsi="宋体" w:eastAsia="宋体" w:cs="宋体"/>
          <w:color w:val="auto"/>
          <w:kern w:val="2"/>
          <w:sz w:val="24"/>
          <w:szCs w:val="24"/>
          <w:highlight w:val="none"/>
          <w:lang w:val="en-US" w:eastAsia="zh-CN" w:bidi="ar-SA"/>
        </w:rPr>
        <w:t>标段号：</w:t>
      </w:r>
    </w:p>
    <w:p w14:paraId="4AF834BD">
      <w:pPr>
        <w:widowControl/>
        <w:spacing w:line="360" w:lineRule="auto"/>
        <w:jc w:val="left"/>
        <w:rPr>
          <w:rFonts w:hint="eastAsia" w:ascii="宋体" w:hAnsi="宋体" w:eastAsia="宋体" w:cs="宋体"/>
          <w:bCs/>
          <w:color w:val="auto"/>
          <w:kern w:val="1"/>
          <w:sz w:val="24"/>
          <w:szCs w:val="24"/>
          <w:highlight w:val="none"/>
          <w:lang w:eastAsia="zh-CN"/>
        </w:rPr>
      </w:pPr>
      <w:r>
        <w:rPr>
          <w:rFonts w:hint="eastAsia" w:ascii="宋体" w:hAnsi="宋体" w:eastAsia="宋体" w:cs="宋体"/>
          <w:bCs/>
          <w:color w:val="auto"/>
          <w:kern w:val="1"/>
          <w:sz w:val="24"/>
          <w:szCs w:val="24"/>
          <w:highlight w:val="none"/>
        </w:rPr>
        <w:t>项目名称：</w:t>
      </w:r>
      <w:r>
        <w:rPr>
          <w:rFonts w:hint="eastAsia" w:ascii="宋体" w:hAnsi="宋体" w:eastAsia="宋体" w:cs="宋体"/>
          <w:color w:val="auto"/>
          <w:kern w:val="0"/>
          <w:sz w:val="24"/>
          <w:szCs w:val="24"/>
          <w:highlight w:val="none"/>
          <w:lang w:eastAsia="zh-CN"/>
        </w:rPr>
        <w:t>2026年度港区建设项目环评和危废发证技术评估</w:t>
      </w:r>
    </w:p>
    <w:tbl>
      <w:tblPr>
        <w:tblStyle w:val="15"/>
        <w:tblW w:w="9662" w:type="dxa"/>
        <w:tblInd w:w="0" w:type="dxa"/>
        <w:tblLayout w:type="fixed"/>
        <w:tblCellMar>
          <w:top w:w="0" w:type="dxa"/>
          <w:left w:w="108" w:type="dxa"/>
          <w:bottom w:w="0" w:type="dxa"/>
          <w:right w:w="108" w:type="dxa"/>
        </w:tblCellMar>
      </w:tblPr>
      <w:tblGrid>
        <w:gridCol w:w="4836"/>
        <w:gridCol w:w="4826"/>
      </w:tblGrid>
      <w:tr w14:paraId="71C3372D">
        <w:tblPrEx>
          <w:tblCellMar>
            <w:top w:w="0" w:type="dxa"/>
            <w:left w:w="108" w:type="dxa"/>
            <w:bottom w:w="0" w:type="dxa"/>
            <w:right w:w="108" w:type="dxa"/>
          </w:tblCellMar>
        </w:tblPrEx>
        <w:tc>
          <w:tcPr>
            <w:tcW w:w="4836" w:type="dxa"/>
          </w:tcPr>
          <w:p w14:paraId="0B6F39AA">
            <w:pPr>
              <w:widowControl/>
              <w:tabs>
                <w:tab w:val="left" w:pos="6237"/>
              </w:tabs>
              <w:spacing w:line="360" w:lineRule="auto"/>
              <w:jc w:val="left"/>
              <w:outlineLvl w:val="0"/>
              <w:rPr>
                <w:rFonts w:hint="eastAsia" w:ascii="宋体" w:hAnsi="宋体" w:eastAsia="宋体" w:cs="宋体"/>
                <w:color w:val="auto"/>
                <w:kern w:val="1"/>
                <w:sz w:val="24"/>
                <w:szCs w:val="24"/>
                <w:highlight w:val="none"/>
                <w:lang w:eastAsia="zh-CN"/>
              </w:rPr>
            </w:pPr>
            <w:r>
              <w:rPr>
                <w:rFonts w:hint="eastAsia" w:ascii="宋体" w:hAnsi="宋体" w:eastAsia="宋体" w:cs="宋体"/>
                <w:color w:val="auto"/>
                <w:kern w:val="1"/>
                <w:sz w:val="24"/>
                <w:szCs w:val="24"/>
                <w:highlight w:val="none"/>
              </w:rPr>
              <w:t>甲方（买方）：</w:t>
            </w:r>
            <w:r>
              <w:rPr>
                <w:rFonts w:hint="eastAsia" w:ascii="宋体" w:hAnsi="宋体" w:eastAsia="宋体" w:cs="宋体"/>
                <w:bCs/>
                <w:color w:val="auto"/>
                <w:kern w:val="1"/>
                <w:sz w:val="24"/>
                <w:szCs w:val="24"/>
                <w:highlight w:val="none"/>
                <w:lang w:eastAsia="zh-CN"/>
              </w:rPr>
              <w:t>太仓港经济技术开发区管理委员会</w:t>
            </w:r>
          </w:p>
        </w:tc>
        <w:tc>
          <w:tcPr>
            <w:tcW w:w="4826" w:type="dxa"/>
          </w:tcPr>
          <w:p w14:paraId="7191A9A2">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地址：</w:t>
            </w:r>
          </w:p>
        </w:tc>
      </w:tr>
      <w:tr w14:paraId="2AFBE6B4">
        <w:tblPrEx>
          <w:tblCellMar>
            <w:top w:w="0" w:type="dxa"/>
            <w:left w:w="108" w:type="dxa"/>
            <w:bottom w:w="0" w:type="dxa"/>
            <w:right w:w="108" w:type="dxa"/>
          </w:tblCellMar>
        </w:tblPrEx>
        <w:tc>
          <w:tcPr>
            <w:tcW w:w="4836" w:type="dxa"/>
          </w:tcPr>
          <w:p w14:paraId="0934F7DF">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乙方（卖方）：</w:t>
            </w:r>
          </w:p>
        </w:tc>
        <w:tc>
          <w:tcPr>
            <w:tcW w:w="4826" w:type="dxa"/>
          </w:tcPr>
          <w:p w14:paraId="53726405">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地址：</w:t>
            </w:r>
          </w:p>
        </w:tc>
      </w:tr>
      <w:tr w14:paraId="57EDB0AD">
        <w:tblPrEx>
          <w:tblCellMar>
            <w:top w:w="0" w:type="dxa"/>
            <w:left w:w="108" w:type="dxa"/>
            <w:bottom w:w="0" w:type="dxa"/>
            <w:right w:w="108" w:type="dxa"/>
          </w:tblCellMar>
        </w:tblPrEx>
        <w:tc>
          <w:tcPr>
            <w:tcW w:w="4836" w:type="dxa"/>
          </w:tcPr>
          <w:p w14:paraId="1529D151">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签订时间：</w:t>
            </w:r>
          </w:p>
        </w:tc>
        <w:tc>
          <w:tcPr>
            <w:tcW w:w="4826" w:type="dxa"/>
          </w:tcPr>
          <w:p w14:paraId="53FB509F">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签订地点：太仓市</w:t>
            </w:r>
          </w:p>
        </w:tc>
      </w:tr>
    </w:tbl>
    <w:p w14:paraId="5752D18A">
      <w:pPr>
        <w:tabs>
          <w:tab w:val="left" w:pos="6237"/>
        </w:tabs>
        <w:spacing w:line="360" w:lineRule="auto"/>
        <w:ind w:firstLine="480"/>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根据</w:t>
      </w:r>
      <w:r>
        <w:rPr>
          <w:rFonts w:hint="eastAsia" w:ascii="宋体" w:hAnsi="宋体" w:cs="宋体"/>
          <w:color w:val="auto"/>
          <w:kern w:val="1"/>
          <w:sz w:val="24"/>
          <w:szCs w:val="24"/>
          <w:highlight w:val="none"/>
          <w:lang w:val="en-US" w:eastAsia="zh-CN"/>
        </w:rPr>
        <w:t>江苏启越工程管理有限公司</w:t>
      </w:r>
      <w:r>
        <w:rPr>
          <w:rFonts w:hint="eastAsia" w:ascii="宋体" w:hAnsi="宋体" w:eastAsia="宋体" w:cs="宋体"/>
          <w:color w:val="auto"/>
          <w:kern w:val="1"/>
          <w:sz w:val="24"/>
          <w:szCs w:val="24"/>
          <w:highlight w:val="none"/>
        </w:rPr>
        <w:t>采购编号</w:t>
      </w:r>
      <w:r>
        <w:rPr>
          <w:rFonts w:hint="eastAsia" w:ascii="宋体" w:hAnsi="宋体" w:eastAsia="宋体" w:cs="宋体"/>
          <w:color w:val="auto"/>
          <w:kern w:val="1"/>
          <w:sz w:val="24"/>
          <w:szCs w:val="24"/>
          <w:highlight w:val="none"/>
          <w:u w:val="single"/>
          <w:lang w:val="en-US" w:eastAsia="zh-CN"/>
        </w:rPr>
        <w:t xml:space="preserve">        </w:t>
      </w:r>
      <w:r>
        <w:rPr>
          <w:rFonts w:hint="eastAsia" w:ascii="宋体" w:hAnsi="宋体" w:eastAsia="宋体" w:cs="宋体"/>
          <w:color w:val="auto"/>
          <w:kern w:val="1"/>
          <w:sz w:val="24"/>
          <w:szCs w:val="24"/>
          <w:highlight w:val="none"/>
        </w:rPr>
        <w:t>号政府采购文件及中标单位的投标文件和中标通知书，</w:t>
      </w:r>
      <w:r>
        <w:rPr>
          <w:rFonts w:hint="eastAsia" w:ascii="宋体" w:hAnsi="宋体" w:eastAsia="宋体" w:cs="宋体"/>
          <w:color w:val="auto"/>
          <w:kern w:val="2"/>
          <w:sz w:val="24"/>
          <w:szCs w:val="24"/>
          <w:highlight w:val="none"/>
        </w:rPr>
        <w:t>甲乙双方就甲方聘用乙方从事</w:t>
      </w:r>
      <w:r>
        <w:rPr>
          <w:rFonts w:hint="eastAsia" w:ascii="宋体" w:hAnsi="宋体" w:eastAsia="宋体" w:cs="宋体"/>
          <w:color w:val="auto"/>
          <w:kern w:val="0"/>
          <w:sz w:val="24"/>
          <w:szCs w:val="24"/>
          <w:highlight w:val="none"/>
          <w:u w:val="single"/>
          <w:lang w:eastAsia="zh-CN"/>
        </w:rPr>
        <w:t>2026年度港区建设项目环评和危废发证技术评估</w:t>
      </w:r>
      <w:r>
        <w:rPr>
          <w:rFonts w:hint="eastAsia" w:ascii="宋体" w:hAnsi="宋体" w:eastAsia="宋体" w:cs="宋体"/>
          <w:color w:val="auto"/>
          <w:kern w:val="2"/>
          <w:sz w:val="24"/>
          <w:szCs w:val="24"/>
          <w:highlight w:val="none"/>
        </w:rPr>
        <w:t>工作，签订本合同书。</w:t>
      </w:r>
    </w:p>
    <w:p w14:paraId="53958724">
      <w:pPr>
        <w:keepNext w:val="0"/>
        <w:keepLines w:val="0"/>
        <w:pageBreakBefore w:val="0"/>
        <w:widowControl w:val="0"/>
        <w:kinsoku/>
        <w:wordWrap/>
        <w:overflowPunct/>
        <w:topLinePunct w:val="0"/>
        <w:autoSpaceDE/>
        <w:autoSpaceDN/>
        <w:bidi w:val="0"/>
        <w:adjustRightInd w:val="0"/>
        <w:snapToGrid/>
        <w:spacing w:line="360" w:lineRule="auto"/>
        <w:ind w:right="0" w:rightChars="0"/>
        <w:jc w:val="left"/>
        <w:textAlignment w:val="baseline"/>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一、合同内容</w:t>
      </w:r>
    </w:p>
    <w:p w14:paraId="0B7DC2E2">
      <w:pPr>
        <w:widowControl/>
        <w:spacing w:line="360" w:lineRule="auto"/>
        <w:jc w:val="left"/>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en-US" w:eastAsia="zh-CN"/>
        </w:rPr>
        <w:t xml:space="preserve">1. </w:t>
      </w:r>
      <w:r>
        <w:rPr>
          <w:rFonts w:hint="eastAsia" w:ascii="宋体" w:hAnsi="宋体" w:eastAsia="宋体" w:cs="宋体"/>
          <w:color w:val="auto"/>
          <w:kern w:val="2"/>
          <w:sz w:val="24"/>
          <w:szCs w:val="24"/>
          <w:highlight w:val="none"/>
          <w:lang w:val="zh-CN"/>
        </w:rPr>
        <w:t>乙方负责</w:t>
      </w:r>
      <w:r>
        <w:rPr>
          <w:rFonts w:hint="eastAsia" w:ascii="宋体" w:hAnsi="宋体" w:eastAsia="宋体" w:cs="宋体"/>
          <w:color w:val="auto"/>
          <w:kern w:val="0"/>
          <w:sz w:val="24"/>
          <w:szCs w:val="24"/>
          <w:highlight w:val="none"/>
          <w:lang w:eastAsia="zh-CN"/>
        </w:rPr>
        <w:t>2026年度港区建设项目环评和危废发证技术评估</w:t>
      </w:r>
      <w:r>
        <w:rPr>
          <w:rFonts w:hint="eastAsia" w:ascii="宋体" w:hAnsi="宋体" w:eastAsia="宋体" w:cs="宋体"/>
          <w:color w:val="auto"/>
          <w:kern w:val="2"/>
          <w:sz w:val="24"/>
          <w:szCs w:val="24"/>
          <w:highlight w:val="none"/>
          <w:lang w:val="zh-CN"/>
        </w:rPr>
        <w:t>。</w:t>
      </w:r>
    </w:p>
    <w:p w14:paraId="52E5822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服务</w:t>
      </w:r>
      <w:r>
        <w:rPr>
          <w:rFonts w:hint="eastAsia" w:ascii="宋体" w:hAnsi="宋体" w:cs="宋体"/>
          <w:color w:val="auto"/>
          <w:kern w:val="2"/>
          <w:sz w:val="24"/>
          <w:szCs w:val="24"/>
          <w:highlight w:val="none"/>
          <w:lang w:val="en-US" w:eastAsia="zh-CN" w:bidi="ar-SA"/>
        </w:rPr>
        <w:t>期限：</w:t>
      </w:r>
      <w:r>
        <w:rPr>
          <w:rFonts w:hint="eastAsia" w:ascii="宋体" w:hAnsi="宋体" w:cs="宋体"/>
          <w:color w:val="auto"/>
          <w:sz w:val="24"/>
          <w:szCs w:val="24"/>
          <w:highlight w:val="none"/>
          <w:lang w:val="en-US" w:eastAsia="zh-CN"/>
        </w:rPr>
        <w:t>自合同签订之日起至</w:t>
      </w:r>
      <w:r>
        <w:rPr>
          <w:rFonts w:hint="eastAsia" w:ascii="宋体" w:hAnsi="宋体" w:eastAsia="宋体" w:cs="宋体"/>
          <w:color w:val="auto"/>
          <w:sz w:val="24"/>
          <w:szCs w:val="24"/>
          <w:highlight w:val="none"/>
        </w:rPr>
        <w:t>2026年12月31日</w:t>
      </w:r>
      <w:r>
        <w:rPr>
          <w:rFonts w:hint="eastAsia" w:ascii="宋体" w:hAnsi="宋体" w:eastAsia="宋体" w:cs="宋体"/>
          <w:color w:val="auto"/>
          <w:kern w:val="2"/>
          <w:sz w:val="24"/>
          <w:szCs w:val="24"/>
          <w:highlight w:val="none"/>
          <w:lang w:val="en-US" w:eastAsia="zh-CN" w:bidi="ar-SA"/>
        </w:rPr>
        <w:t>。</w:t>
      </w:r>
    </w:p>
    <w:p w14:paraId="60E8742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在协议有效期内一方不得擅自变更或中止此项协议，如未经双方同意，擅自变更或中止此项的一方要负违约责任。</w:t>
      </w:r>
    </w:p>
    <w:p w14:paraId="4039633F">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2. </w:t>
      </w:r>
      <w:r>
        <w:rPr>
          <w:rFonts w:hint="eastAsia" w:ascii="宋体" w:hAnsi="宋体" w:eastAsia="宋体" w:cs="宋体"/>
          <w:color w:val="auto"/>
          <w:kern w:val="2"/>
          <w:sz w:val="24"/>
          <w:szCs w:val="24"/>
          <w:highlight w:val="none"/>
        </w:rPr>
        <w:t>下列文件为本合同不可分割部分：</w:t>
      </w:r>
    </w:p>
    <w:p w14:paraId="5D64682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（1）中标通知书；</w:t>
      </w:r>
    </w:p>
    <w:p w14:paraId="2479FE9E">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（2）乙方的投标文件；</w:t>
      </w:r>
    </w:p>
    <w:p w14:paraId="7E703C3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（3）乙方在招投标过程中所作的其它承诺、声明、书面澄清等；</w:t>
      </w:r>
    </w:p>
    <w:p w14:paraId="214569D1">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（4）招标文件及其附件；</w:t>
      </w:r>
    </w:p>
    <w:p w14:paraId="1F2A04D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（5）合同附件。</w:t>
      </w:r>
    </w:p>
    <w:p w14:paraId="3A1DBF38">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以上与本合同具有同等法律效力</w:t>
      </w:r>
    </w:p>
    <w:p w14:paraId="1F75DECD">
      <w:pPr>
        <w:spacing w:line="360" w:lineRule="auto"/>
        <w:jc w:val="left"/>
        <w:rPr>
          <w:rFonts w:hint="eastAsia" w:ascii="宋体" w:hAnsi="宋体" w:eastAsia="宋体" w:cs="宋体"/>
          <w:b/>
          <w:bCs w:val="0"/>
          <w:color w:val="auto"/>
          <w:kern w:val="2"/>
          <w:sz w:val="24"/>
          <w:szCs w:val="24"/>
          <w:highlight w:val="none"/>
          <w:lang w:eastAsia="zh-CN"/>
        </w:rPr>
      </w:pPr>
      <w:r>
        <w:rPr>
          <w:rFonts w:hint="eastAsia" w:ascii="Times New Roman" w:hAnsi="Times New Roman" w:eastAsia="宋体" w:cs="宋体"/>
          <w:b/>
          <w:bCs w:val="0"/>
          <w:color w:val="auto"/>
          <w:kern w:val="2"/>
          <w:sz w:val="24"/>
          <w:szCs w:val="24"/>
          <w:highlight w:val="none"/>
          <w:lang w:eastAsia="zh-CN"/>
        </w:rPr>
        <w:t>二</w:t>
      </w:r>
      <w:r>
        <w:rPr>
          <w:rFonts w:hint="eastAsia" w:ascii="宋体" w:hAnsi="宋体" w:eastAsia="宋体" w:cs="宋体"/>
          <w:b/>
          <w:bCs w:val="0"/>
          <w:color w:val="auto"/>
          <w:kern w:val="2"/>
          <w:sz w:val="24"/>
          <w:szCs w:val="24"/>
          <w:highlight w:val="none"/>
          <w:lang w:eastAsia="zh-CN"/>
        </w:rPr>
        <w:t>、</w:t>
      </w:r>
      <w:r>
        <w:rPr>
          <w:rFonts w:hint="eastAsia" w:ascii="宋体" w:hAnsi="宋体" w:eastAsia="宋体" w:cs="宋体"/>
          <w:b/>
          <w:bCs w:val="0"/>
          <w:color w:val="auto"/>
          <w:kern w:val="2"/>
          <w:sz w:val="24"/>
          <w:szCs w:val="24"/>
          <w:highlight w:val="none"/>
        </w:rPr>
        <w:t>服务</w:t>
      </w:r>
      <w:r>
        <w:rPr>
          <w:rFonts w:hint="eastAsia" w:ascii="宋体" w:hAnsi="宋体" w:eastAsia="宋体" w:cs="宋体"/>
          <w:b/>
          <w:bCs w:val="0"/>
          <w:color w:val="auto"/>
          <w:kern w:val="2"/>
          <w:sz w:val="24"/>
          <w:szCs w:val="24"/>
          <w:highlight w:val="none"/>
          <w:lang w:eastAsia="zh-CN"/>
        </w:rPr>
        <w:t>要求</w:t>
      </w:r>
    </w:p>
    <w:p w14:paraId="5AA0FE85">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甲方聘请乙方提供以下服务：</w:t>
      </w:r>
    </w:p>
    <w:p w14:paraId="21622656">
      <w:pPr>
        <w:spacing w:line="360" w:lineRule="auto"/>
        <w:ind w:firstLine="480"/>
        <w:jc w:val="left"/>
        <w:rPr>
          <w:rFonts w:hint="eastAsia" w:ascii="宋体" w:hAnsi="宋体" w:eastAsia="宋体" w:cs="宋体"/>
          <w:color w:val="auto"/>
          <w:kern w:val="2"/>
          <w:sz w:val="24"/>
          <w:szCs w:val="24"/>
          <w:highlight w:val="none"/>
        </w:rPr>
      </w:pPr>
      <w:r>
        <w:rPr>
          <w:rFonts w:hint="eastAsia" w:ascii="Times New Roman" w:hAnsi="Times New Roman" w:eastAsia="宋体" w:cs="宋体"/>
          <w:color w:val="auto"/>
          <w:kern w:val="2"/>
          <w:sz w:val="24"/>
          <w:szCs w:val="24"/>
          <w:highlight w:val="none"/>
          <w:lang w:eastAsia="zh-CN"/>
        </w:rPr>
        <w:t>（一）</w:t>
      </w:r>
      <w:r>
        <w:rPr>
          <w:rFonts w:hint="eastAsia" w:ascii="宋体" w:hAnsi="宋体" w:eastAsia="宋体" w:cs="宋体"/>
          <w:color w:val="auto"/>
          <w:kern w:val="2"/>
          <w:sz w:val="24"/>
          <w:szCs w:val="24"/>
          <w:highlight w:val="none"/>
        </w:rPr>
        <w:t>本合同项下的服务指：</w:t>
      </w:r>
      <w:r>
        <w:rPr>
          <w:rFonts w:hint="eastAsia" w:ascii="宋体" w:hAnsi="宋体" w:eastAsia="宋体" w:cs="宋体"/>
          <w:color w:val="auto"/>
          <w:kern w:val="0"/>
          <w:sz w:val="24"/>
          <w:szCs w:val="24"/>
          <w:highlight w:val="none"/>
          <w:lang w:eastAsia="zh-CN"/>
        </w:rPr>
        <w:t>2026年度港区建设项目环评和危废发证技术评估</w:t>
      </w:r>
      <w:r>
        <w:rPr>
          <w:rFonts w:hint="eastAsia" w:ascii="宋体" w:hAnsi="宋体" w:eastAsia="宋体" w:cs="宋体"/>
          <w:color w:val="auto"/>
          <w:kern w:val="2"/>
          <w:sz w:val="24"/>
          <w:szCs w:val="24"/>
          <w:highlight w:val="none"/>
        </w:rPr>
        <w:t>。</w:t>
      </w:r>
    </w:p>
    <w:p w14:paraId="2F3970A0">
      <w:pPr>
        <w:spacing w:line="360" w:lineRule="auto"/>
        <w:ind w:firstLine="480"/>
        <w:jc w:val="left"/>
        <w:rPr>
          <w:rFonts w:hint="eastAsia" w:ascii="宋体" w:hAnsi="宋体" w:eastAsia="宋体" w:cs="宋体"/>
          <w:color w:val="auto"/>
          <w:kern w:val="2"/>
          <w:sz w:val="24"/>
          <w:szCs w:val="24"/>
          <w:highlight w:val="none"/>
        </w:rPr>
      </w:pPr>
      <w:r>
        <w:rPr>
          <w:rFonts w:hint="eastAsia" w:ascii="Times New Roman" w:hAnsi="Times New Roman" w:eastAsia="宋体" w:cs="宋体"/>
          <w:color w:val="auto"/>
          <w:kern w:val="2"/>
          <w:sz w:val="24"/>
          <w:szCs w:val="24"/>
          <w:highlight w:val="none"/>
          <w:lang w:eastAsia="zh-CN"/>
        </w:rPr>
        <w:t>（二）</w:t>
      </w:r>
      <w:r>
        <w:rPr>
          <w:rFonts w:hint="eastAsia" w:ascii="宋体" w:hAnsi="宋体" w:eastAsia="宋体" w:cs="宋体"/>
          <w:color w:val="auto"/>
          <w:kern w:val="2"/>
          <w:sz w:val="24"/>
          <w:szCs w:val="24"/>
          <w:highlight w:val="none"/>
        </w:rPr>
        <w:t>服务内容：</w:t>
      </w:r>
      <w:r>
        <w:rPr>
          <w:rFonts w:hint="eastAsia" w:ascii="宋体" w:hAnsi="宋体" w:eastAsia="宋体" w:cs="宋体"/>
          <w:color w:val="auto"/>
          <w:kern w:val="2"/>
          <w:sz w:val="24"/>
          <w:szCs w:val="24"/>
          <w:highlight w:val="none"/>
          <w:lang w:eastAsia="zh-CN"/>
        </w:rPr>
        <w:t>详见招标文件</w:t>
      </w:r>
      <w:r>
        <w:rPr>
          <w:rFonts w:hint="eastAsia" w:ascii="宋体" w:hAnsi="宋体" w:eastAsia="宋体" w:cs="宋体"/>
          <w:color w:val="auto"/>
          <w:kern w:val="2"/>
          <w:sz w:val="24"/>
          <w:szCs w:val="24"/>
          <w:highlight w:val="none"/>
        </w:rPr>
        <w:t>。</w:t>
      </w:r>
    </w:p>
    <w:p w14:paraId="19554485">
      <w:pPr>
        <w:spacing w:line="360" w:lineRule="auto"/>
        <w:ind w:firstLine="480"/>
        <w:jc w:val="left"/>
        <w:rPr>
          <w:rFonts w:hint="eastAsia" w:ascii="宋体" w:hAnsi="宋体" w:eastAsia="宋体" w:cs="宋体"/>
          <w:color w:val="auto"/>
          <w:kern w:val="2"/>
          <w:sz w:val="24"/>
          <w:szCs w:val="24"/>
          <w:highlight w:val="none"/>
          <w:lang w:eastAsia="zh-CN"/>
        </w:rPr>
      </w:pPr>
      <w:r>
        <w:rPr>
          <w:rFonts w:hint="eastAsia" w:ascii="Times New Roman" w:hAnsi="Times New Roman" w:eastAsia="宋体" w:cs="宋体"/>
          <w:color w:val="auto"/>
          <w:kern w:val="2"/>
          <w:sz w:val="24"/>
          <w:szCs w:val="24"/>
          <w:highlight w:val="none"/>
          <w:lang w:eastAsia="zh-CN"/>
        </w:rPr>
        <w:t>（三）</w:t>
      </w:r>
      <w:r>
        <w:rPr>
          <w:rFonts w:hint="eastAsia" w:ascii="宋体" w:hAnsi="宋体" w:eastAsia="宋体" w:cs="宋体"/>
          <w:color w:val="auto"/>
          <w:kern w:val="2"/>
          <w:sz w:val="24"/>
          <w:szCs w:val="24"/>
          <w:highlight w:val="none"/>
        </w:rPr>
        <w:t>服务标准：</w:t>
      </w:r>
      <w:r>
        <w:rPr>
          <w:rFonts w:hint="eastAsia" w:ascii="宋体" w:hAnsi="宋体" w:eastAsia="宋体" w:cs="宋体"/>
          <w:color w:val="auto"/>
          <w:kern w:val="2"/>
          <w:sz w:val="24"/>
          <w:szCs w:val="24"/>
          <w:highlight w:val="none"/>
          <w:lang w:eastAsia="zh-CN"/>
        </w:rPr>
        <w:t>详见招标文件</w:t>
      </w:r>
    </w:p>
    <w:p w14:paraId="5139C2C5">
      <w:pPr>
        <w:spacing w:line="360" w:lineRule="auto"/>
        <w:rPr>
          <w:rFonts w:hint="eastAsia" w:ascii="宋体" w:hAnsi="宋体" w:eastAsia="宋体" w:cs="宋体"/>
          <w:color w:val="auto"/>
          <w:kern w:val="2"/>
          <w:sz w:val="24"/>
          <w:szCs w:val="24"/>
          <w:highlight w:val="none"/>
        </w:rPr>
      </w:pPr>
      <w:r>
        <w:rPr>
          <w:rFonts w:hint="eastAsia" w:ascii="Times New Roman" w:hAnsi="Times New Roman" w:eastAsia="宋体" w:cs="宋体"/>
          <w:b/>
          <w:bCs w:val="0"/>
          <w:color w:val="auto"/>
          <w:kern w:val="2"/>
          <w:sz w:val="24"/>
          <w:szCs w:val="24"/>
          <w:highlight w:val="none"/>
          <w:lang w:eastAsia="zh-CN"/>
        </w:rPr>
        <w:t>三</w:t>
      </w:r>
      <w:r>
        <w:rPr>
          <w:rFonts w:hint="eastAsia" w:ascii="宋体" w:hAnsi="宋体" w:eastAsia="宋体" w:cs="宋体"/>
          <w:b/>
          <w:bCs w:val="0"/>
          <w:color w:val="auto"/>
          <w:kern w:val="2"/>
          <w:sz w:val="24"/>
          <w:szCs w:val="24"/>
          <w:highlight w:val="none"/>
          <w:lang w:eastAsia="zh-CN"/>
        </w:rPr>
        <w:t>、</w:t>
      </w:r>
      <w:r>
        <w:rPr>
          <w:rFonts w:hint="eastAsia" w:ascii="宋体" w:hAnsi="宋体" w:eastAsia="宋体" w:cs="宋体"/>
          <w:b/>
          <w:bCs w:val="0"/>
          <w:color w:val="auto"/>
          <w:kern w:val="2"/>
          <w:sz w:val="24"/>
          <w:szCs w:val="24"/>
          <w:highlight w:val="none"/>
        </w:rPr>
        <w:t xml:space="preserve"> 合同总价款</w:t>
      </w:r>
      <w:r>
        <w:rPr>
          <w:rFonts w:hint="eastAsia" w:ascii="宋体" w:hAnsi="宋体" w:eastAsia="宋体" w:cs="宋体"/>
          <w:b w:val="0"/>
          <w:bCs/>
          <w:color w:val="auto"/>
          <w:kern w:val="2"/>
          <w:sz w:val="24"/>
          <w:szCs w:val="24"/>
          <w:highlight w:val="none"/>
        </w:rPr>
        <w:t xml:space="preserve"> </w:t>
      </w:r>
      <w:r>
        <w:rPr>
          <w:rFonts w:hint="eastAsia" w:ascii="宋体" w:hAnsi="宋体" w:eastAsia="宋体" w:cs="宋体"/>
          <w:color w:val="auto"/>
          <w:kern w:val="2"/>
          <w:sz w:val="24"/>
          <w:szCs w:val="24"/>
          <w:highlight w:val="none"/>
        </w:rPr>
        <w:t xml:space="preserve"> </w:t>
      </w:r>
    </w:p>
    <w:p w14:paraId="2944E7B9">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right="0" w:firstLine="506" w:firstLineChars="200"/>
        <w:jc w:val="left"/>
        <w:textAlignment w:val="baseline"/>
        <w:rPr>
          <w:rFonts w:ascii="Times New Roman" w:hAnsi="Times New Roman" w:eastAsia="宋体" w:cs="Times New Roman"/>
          <w:b/>
          <w:bCs/>
          <w:color w:val="auto"/>
          <w:sz w:val="24"/>
          <w:szCs w:val="24"/>
          <w:highlight w:val="none"/>
        </w:rPr>
      </w:pPr>
      <w:r>
        <w:rPr>
          <w:rFonts w:hint="eastAsia" w:ascii="宋体" w:hAnsi="宋体" w:eastAsia="宋体" w:cs="宋体"/>
          <w:b/>
          <w:bCs/>
          <w:snapToGrid w:val="0"/>
          <w:color w:val="auto"/>
          <w:spacing w:val="6"/>
          <w:kern w:val="0"/>
          <w:sz w:val="24"/>
          <w:szCs w:val="24"/>
          <w:highlight w:val="none"/>
          <w:lang w:val="en-US" w:eastAsia="zh-CN"/>
        </w:rPr>
        <w:t>1、</w:t>
      </w:r>
      <w:r>
        <w:rPr>
          <w:rFonts w:ascii="宋体" w:hAnsi="宋体" w:eastAsia="宋体" w:cs="宋体"/>
          <w:b/>
          <w:bCs/>
          <w:snapToGrid w:val="0"/>
          <w:color w:val="auto"/>
          <w:spacing w:val="6"/>
          <w:kern w:val="0"/>
          <w:sz w:val="24"/>
          <w:szCs w:val="24"/>
          <w:highlight w:val="none"/>
          <w:lang w:eastAsia="en-US"/>
        </w:rPr>
        <w:t>本项目</w:t>
      </w:r>
      <w:r>
        <w:rPr>
          <w:rFonts w:hint="eastAsia" w:ascii="宋体" w:hAnsi="宋体" w:eastAsia="宋体" w:cs="宋体"/>
          <w:b/>
          <w:bCs/>
          <w:color w:val="auto"/>
          <w:sz w:val="24"/>
          <w:szCs w:val="24"/>
          <w:highlight w:val="none"/>
        </w:rPr>
        <w:t>以实际发生评估项目数量为准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snapToGrid w:val="0"/>
          <w:color w:val="auto"/>
          <w:spacing w:val="-1"/>
          <w:kern w:val="0"/>
          <w:sz w:val="24"/>
          <w:szCs w:val="24"/>
          <w:highlight w:val="none"/>
          <w:lang w:val="en-US" w:eastAsia="zh-CN"/>
        </w:rPr>
        <w:t>按实结算，优惠率为_______%。</w:t>
      </w:r>
      <w:r>
        <w:rPr>
          <w:rFonts w:ascii="宋体" w:hAnsi="宋体" w:eastAsia="宋体" w:cs="宋体"/>
          <w:b/>
          <w:bCs/>
          <w:snapToGrid w:val="0"/>
          <w:color w:val="auto"/>
          <w:spacing w:val="6"/>
          <w:kern w:val="0"/>
          <w:sz w:val="24"/>
          <w:szCs w:val="24"/>
          <w:highlight w:val="none"/>
          <w:lang w:eastAsia="en-US"/>
        </w:rPr>
        <w:t>结算单价=</w:t>
      </w:r>
      <w:r>
        <w:rPr>
          <w:rFonts w:hint="eastAsia" w:ascii="宋体" w:hAnsi="宋体" w:eastAsia="宋体" w:cs="宋体"/>
          <w:b/>
          <w:bCs/>
          <w:snapToGrid w:val="0"/>
          <w:color w:val="auto"/>
          <w:spacing w:val="6"/>
          <w:kern w:val="0"/>
          <w:sz w:val="24"/>
          <w:szCs w:val="24"/>
          <w:highlight w:val="none"/>
          <w:lang w:val="en-US" w:eastAsia="zh-CN"/>
        </w:rPr>
        <w:t>每项</w:t>
      </w:r>
      <w:r>
        <w:rPr>
          <w:rFonts w:ascii="宋体" w:hAnsi="宋体" w:eastAsia="宋体" w:cs="宋体"/>
          <w:b/>
          <w:bCs/>
          <w:snapToGrid w:val="0"/>
          <w:color w:val="auto"/>
          <w:spacing w:val="6"/>
          <w:kern w:val="0"/>
          <w:sz w:val="24"/>
          <w:szCs w:val="24"/>
          <w:highlight w:val="none"/>
          <w:lang w:eastAsia="en-US"/>
        </w:rPr>
        <w:t>单价最高限价*</w:t>
      </w:r>
      <w:r>
        <w:rPr>
          <w:rFonts w:hint="eastAsia" w:ascii="宋体" w:hAnsi="宋体" w:eastAsia="宋体" w:cs="Times New Roman"/>
          <w:b/>
          <w:bCs/>
          <w:color w:val="auto"/>
          <w:kern w:val="0"/>
          <w:sz w:val="24"/>
          <w:szCs w:val="24"/>
          <w:highlight w:val="none"/>
          <w:lang w:val="en-US" w:eastAsia="zh-CN"/>
        </w:rPr>
        <w:t>（1-中标优惠率）</w:t>
      </w:r>
      <w:r>
        <w:rPr>
          <w:rFonts w:ascii="宋体" w:hAnsi="宋体" w:eastAsia="宋体" w:cs="宋体"/>
          <w:b/>
          <w:bCs/>
          <w:snapToGrid w:val="0"/>
          <w:color w:val="auto"/>
          <w:spacing w:val="6"/>
          <w:kern w:val="0"/>
          <w:sz w:val="24"/>
          <w:szCs w:val="24"/>
          <w:highlight w:val="none"/>
          <w:lang w:eastAsia="en-US"/>
        </w:rPr>
        <w:t>，最终结算总价</w:t>
      </w:r>
      <w:r>
        <w:rPr>
          <w:rFonts w:ascii="宋体" w:hAnsi="宋体" w:eastAsia="宋体" w:cs="宋体"/>
          <w:b/>
          <w:bCs/>
          <w:snapToGrid w:val="0"/>
          <w:color w:val="auto"/>
          <w:spacing w:val="16"/>
          <w:kern w:val="0"/>
          <w:sz w:val="24"/>
          <w:szCs w:val="24"/>
          <w:highlight w:val="none"/>
          <w:lang w:eastAsia="en-US"/>
        </w:rPr>
        <w:t>不得超过</w:t>
      </w:r>
      <w:r>
        <w:rPr>
          <w:rFonts w:hint="eastAsia" w:ascii="宋体" w:hAnsi="宋体" w:cs="宋体"/>
          <w:b/>
          <w:bCs/>
          <w:snapToGrid w:val="0"/>
          <w:color w:val="auto"/>
          <w:spacing w:val="16"/>
          <w:kern w:val="0"/>
          <w:sz w:val="24"/>
          <w:szCs w:val="24"/>
          <w:highlight w:val="none"/>
          <w:lang w:val="en-US" w:eastAsia="zh-CN"/>
        </w:rPr>
        <w:t>每个标段50</w:t>
      </w:r>
      <w:r>
        <w:rPr>
          <w:rFonts w:hint="eastAsia" w:ascii="宋体" w:hAnsi="宋体" w:eastAsia="宋体" w:cs="宋体"/>
          <w:b/>
          <w:bCs/>
          <w:snapToGrid w:val="0"/>
          <w:color w:val="auto"/>
          <w:spacing w:val="16"/>
          <w:kern w:val="0"/>
          <w:sz w:val="24"/>
          <w:szCs w:val="24"/>
          <w:highlight w:val="none"/>
          <w:lang w:val="en-US" w:eastAsia="zh-CN"/>
        </w:rPr>
        <w:t>万元</w:t>
      </w:r>
      <w:r>
        <w:rPr>
          <w:rFonts w:ascii="宋体" w:hAnsi="宋体" w:eastAsia="宋体" w:cs="宋体"/>
          <w:b/>
          <w:bCs/>
          <w:snapToGrid w:val="0"/>
          <w:color w:val="auto"/>
          <w:spacing w:val="16"/>
          <w:kern w:val="0"/>
          <w:sz w:val="24"/>
          <w:szCs w:val="24"/>
          <w:highlight w:val="none"/>
          <w:lang w:eastAsia="en-US"/>
        </w:rPr>
        <w:t>。</w:t>
      </w:r>
    </w:p>
    <w:p w14:paraId="75F0D484">
      <w:pPr>
        <w:keepNext w:val="0"/>
        <w:keepLines w:val="0"/>
        <w:pageBreakBefore w:val="0"/>
        <w:wordWrap/>
        <w:overflowPunct/>
        <w:topLinePunct w:val="0"/>
        <w:bidi w:val="0"/>
        <w:spacing w:line="360" w:lineRule="auto"/>
        <w:ind w:left="0" w:right="0" w:rightChars="0" w:firstLine="480" w:firstLineChars="200"/>
        <w:contextualSpacing/>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2. </w:t>
      </w:r>
      <w:r>
        <w:rPr>
          <w:rFonts w:hint="eastAsia" w:ascii="宋体" w:hAnsi="宋体" w:eastAsia="宋体" w:cs="宋体"/>
          <w:color w:val="auto"/>
          <w:kern w:val="2"/>
          <w:sz w:val="24"/>
          <w:szCs w:val="24"/>
          <w:highlight w:val="none"/>
        </w:rPr>
        <w:t>以上价格应</w:t>
      </w:r>
      <w:r>
        <w:rPr>
          <w:rFonts w:hint="eastAsia" w:ascii="宋体" w:hAnsi="宋体" w:eastAsia="宋体" w:cs="宋体"/>
          <w:b w:val="0"/>
          <w:bCs w:val="0"/>
          <w:color w:val="auto"/>
          <w:kern w:val="1"/>
          <w:sz w:val="24"/>
          <w:szCs w:val="24"/>
          <w:highlight w:val="none"/>
          <w:lang w:val="en-US" w:eastAsia="zh-CN"/>
        </w:rPr>
        <w:t>含完成本项工作所需的一切费用，包括但不限于各项管理费、人工成本(工资、社保、福利、津贴、加班费等)、创业项目征集与评审、专家咨询劳务费、投融资专项对接服务、宣传推广和印刷资料费、培训费、交通费、网络费、办公设备耗材费、相关设备维修费、银行费用、税费、利润、保险、政策性文件规定及合同包含的所有风险、责任等各项应有费用。</w:t>
      </w:r>
    </w:p>
    <w:p w14:paraId="48B8811F">
      <w:pPr>
        <w:keepNext w:val="0"/>
        <w:keepLines w:val="0"/>
        <w:pageBreakBefore w:val="0"/>
        <w:widowControl w:val="0"/>
        <w:kinsoku/>
        <w:wordWrap/>
        <w:overflowPunct/>
        <w:topLinePunct w:val="0"/>
        <w:autoSpaceDE/>
        <w:autoSpaceDN/>
        <w:bidi w:val="0"/>
        <w:adjustRightInd w:val="0"/>
        <w:snapToGrid/>
        <w:spacing w:line="360" w:lineRule="auto"/>
        <w:ind w:right="0" w:rightChars="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四、 合同款支付</w:t>
      </w:r>
    </w:p>
    <w:p w14:paraId="508E4D4A">
      <w:pPr>
        <w:spacing w:line="360" w:lineRule="auto"/>
        <w:ind w:firstLine="480" w:firstLineChars="200"/>
        <w:rPr>
          <w:rFonts w:hint="default" w:ascii="宋体" w:hAnsi="宋体" w:eastAsia="宋体" w:cs="宋体"/>
          <w:b w:val="0"/>
          <w:i w:val="0"/>
          <w:iCs/>
          <w:color w:val="auto"/>
          <w:spacing w:val="7"/>
          <w:sz w:val="24"/>
          <w:szCs w:val="24"/>
          <w:highlight w:val="none"/>
          <w:u w:val="single"/>
        </w:rPr>
      </w:pPr>
      <w:r>
        <w:rPr>
          <w:rFonts w:hint="eastAsia" w:ascii="宋体" w:hAnsi="宋体" w:eastAsia="宋体" w:cs="宋体"/>
          <w:bCs/>
          <w:color w:val="auto"/>
          <w:kern w:val="0"/>
          <w:sz w:val="24"/>
          <w:szCs w:val="24"/>
          <w:highlight w:val="none"/>
          <w:lang w:val="en-US" w:eastAsia="zh-CN"/>
        </w:rPr>
        <w:t>合同签订生效后</w:t>
      </w:r>
      <w:r>
        <w:rPr>
          <w:rFonts w:hint="eastAsia" w:ascii="宋体" w:hAnsi="宋体" w:cs="宋体"/>
          <w:bCs/>
          <w:color w:val="auto"/>
          <w:kern w:val="0"/>
          <w:sz w:val="24"/>
          <w:szCs w:val="24"/>
          <w:highlight w:val="none"/>
          <w:lang w:val="en-US" w:eastAsia="zh-CN"/>
        </w:rPr>
        <w:t>2个月</w:t>
      </w:r>
      <w:r>
        <w:rPr>
          <w:rFonts w:hint="eastAsia" w:ascii="宋体" w:hAnsi="宋体" w:eastAsia="宋体" w:cs="宋体"/>
          <w:bCs/>
          <w:color w:val="auto"/>
          <w:kern w:val="0"/>
          <w:sz w:val="24"/>
          <w:szCs w:val="24"/>
          <w:highlight w:val="none"/>
          <w:lang w:val="en-US" w:eastAsia="zh-CN"/>
        </w:rPr>
        <w:t>内，甲方预付合同金额的10%</w:t>
      </w:r>
      <w:r>
        <w:rPr>
          <w:rFonts w:hint="eastAsia" w:ascii="宋体" w:hAnsi="宋体" w:cs="宋体"/>
          <w:bCs/>
          <w:color w:val="auto"/>
          <w:kern w:val="0"/>
          <w:sz w:val="24"/>
          <w:szCs w:val="24"/>
          <w:highlight w:val="none"/>
          <w:lang w:val="en-US" w:eastAsia="zh-CN"/>
        </w:rPr>
        <w:t>（乙方自愿放弃的除外）</w:t>
      </w:r>
      <w:r>
        <w:rPr>
          <w:rFonts w:hint="eastAsia" w:ascii="宋体" w:hAnsi="宋体" w:eastAsia="宋体" w:cs="宋体"/>
          <w:bCs/>
          <w:color w:val="auto"/>
          <w:kern w:val="0"/>
          <w:sz w:val="24"/>
          <w:szCs w:val="24"/>
          <w:highlight w:val="none"/>
          <w:lang w:val="en-US" w:eastAsia="zh-CN"/>
        </w:rPr>
        <w:t>，剩余费用在</w:t>
      </w:r>
      <w:r>
        <w:rPr>
          <w:rFonts w:hint="eastAsia" w:ascii="宋体" w:hAnsi="宋体" w:cs="宋体"/>
          <w:bCs/>
          <w:color w:val="auto"/>
          <w:kern w:val="0"/>
          <w:sz w:val="24"/>
          <w:szCs w:val="24"/>
          <w:highlight w:val="none"/>
          <w:lang w:val="en-US" w:eastAsia="zh-CN"/>
        </w:rPr>
        <w:t>合同截止期后乙方根据年度完成的</w:t>
      </w:r>
      <w:r>
        <w:rPr>
          <w:rFonts w:hint="eastAsia" w:ascii="Times New Roman" w:hAnsi="宋体" w:eastAsia="宋体" w:cs="宋体"/>
          <w:color w:val="auto"/>
          <w:sz w:val="24"/>
          <w:szCs w:val="24"/>
          <w:highlight w:val="none"/>
          <w:lang w:eastAsia="zh-Hans"/>
        </w:rPr>
        <w:t>承接技术审查业务(包含环评及危废经营许可证的评估，即已出具技术评估意见)数量并开具发票后，甲方一次性支付项目所有款项。</w:t>
      </w:r>
    </w:p>
    <w:p w14:paraId="27D439B0">
      <w:pPr>
        <w:keepNext w:val="0"/>
        <w:keepLines w:val="0"/>
        <w:pageBreakBefore w:val="0"/>
        <w:kinsoku/>
        <w:wordWrap/>
        <w:topLinePunct w:val="0"/>
        <w:autoSpaceDE/>
        <w:autoSpaceDN/>
        <w:bidi w:val="0"/>
        <w:adjustRightInd/>
        <w:spacing w:line="360" w:lineRule="auto"/>
        <w:ind w:right="0"/>
        <w:jc w:val="left"/>
        <w:textAlignment w:val="auto"/>
        <w:rPr>
          <w:rFonts w:hint="eastAsia" w:ascii="宋体" w:hAnsi="宋体" w:eastAsia="宋体" w:cs="宋体"/>
          <w:b/>
          <w:bCs/>
          <w:color w:val="auto"/>
          <w:kern w:val="2"/>
          <w:sz w:val="24"/>
          <w:szCs w:val="24"/>
          <w:highlight w:val="none"/>
          <w:lang w:val="zh-CN"/>
        </w:rPr>
      </w:pPr>
      <w:r>
        <w:rPr>
          <w:rFonts w:hint="eastAsia" w:ascii="宋体" w:hAnsi="宋体" w:eastAsia="宋体" w:cs="宋体"/>
          <w:b/>
          <w:bCs/>
          <w:color w:val="auto"/>
          <w:kern w:val="2"/>
          <w:sz w:val="24"/>
          <w:szCs w:val="24"/>
          <w:highlight w:val="none"/>
          <w:lang w:val="zh-CN" w:eastAsia="zh-CN"/>
        </w:rPr>
        <w:t>五、</w:t>
      </w:r>
      <w:r>
        <w:rPr>
          <w:rFonts w:hint="eastAsia" w:ascii="宋体" w:hAnsi="宋体" w:eastAsia="宋体" w:cs="宋体"/>
          <w:b/>
          <w:bCs/>
          <w:color w:val="auto"/>
          <w:kern w:val="2"/>
          <w:sz w:val="24"/>
          <w:szCs w:val="24"/>
          <w:highlight w:val="none"/>
          <w:lang w:val="zh-CN"/>
        </w:rPr>
        <w:t xml:space="preserve"> 服务质量、成果要求</w:t>
      </w:r>
    </w:p>
    <w:p w14:paraId="14A7CAE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88" w:firstLineChars="200"/>
        <w:jc w:val="left"/>
        <w:textAlignment w:val="baseline"/>
        <w:rPr>
          <w:rFonts w:ascii="宋体" w:hAnsi="宋体" w:eastAsia="宋体" w:cs="宋体"/>
          <w:snapToGrid w:val="0"/>
          <w:color w:val="auto"/>
          <w:kern w:val="0"/>
          <w:sz w:val="24"/>
          <w:szCs w:val="24"/>
          <w:highlight w:val="none"/>
          <w:lang w:eastAsia="en-US"/>
        </w:rPr>
      </w:pPr>
      <w:r>
        <w:rPr>
          <w:rFonts w:hint="eastAsia" w:ascii="宋体" w:hAnsi="宋体" w:eastAsia="宋体" w:cs="宋体"/>
          <w:snapToGrid w:val="0"/>
          <w:color w:val="auto"/>
          <w:spacing w:val="27"/>
          <w:kern w:val="0"/>
          <w:sz w:val="24"/>
          <w:szCs w:val="24"/>
          <w:highlight w:val="none"/>
          <w:lang w:val="en-US" w:eastAsia="zh-CN"/>
        </w:rPr>
        <w:t>1</w:t>
      </w:r>
      <w:r>
        <w:rPr>
          <w:rFonts w:ascii="宋体" w:hAnsi="宋体" w:eastAsia="宋体" w:cs="宋体"/>
          <w:snapToGrid w:val="0"/>
          <w:color w:val="auto"/>
          <w:spacing w:val="27"/>
          <w:kern w:val="0"/>
          <w:sz w:val="24"/>
          <w:szCs w:val="24"/>
          <w:highlight w:val="none"/>
          <w:lang w:eastAsia="en-US"/>
        </w:rPr>
        <w:t>、项目完成后甲方将组织专业人员进行项目的验收工作，如存在问题，乙方应进行</w:t>
      </w:r>
      <w:r>
        <w:rPr>
          <w:rFonts w:ascii="宋体" w:hAnsi="宋体" w:eastAsia="宋体" w:cs="宋体"/>
          <w:snapToGrid w:val="0"/>
          <w:color w:val="auto"/>
          <w:spacing w:val="26"/>
          <w:kern w:val="0"/>
          <w:sz w:val="24"/>
          <w:szCs w:val="24"/>
          <w:highlight w:val="none"/>
          <w:lang w:eastAsia="en-US"/>
        </w:rPr>
        <w:t>改进，直</w:t>
      </w:r>
      <w:r>
        <w:rPr>
          <w:rFonts w:ascii="宋体" w:hAnsi="宋体" w:eastAsia="宋体" w:cs="宋体"/>
          <w:snapToGrid w:val="0"/>
          <w:color w:val="auto"/>
          <w:kern w:val="0"/>
          <w:sz w:val="24"/>
          <w:szCs w:val="24"/>
          <w:highlight w:val="none"/>
          <w:lang w:eastAsia="en-US"/>
        </w:rPr>
        <w:t>至验收合格为止；</w:t>
      </w:r>
    </w:p>
    <w:p w14:paraId="7B50F7D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4" w:firstLineChars="200"/>
        <w:jc w:val="left"/>
        <w:textAlignment w:val="baseline"/>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snapToGrid w:val="0"/>
          <w:color w:val="auto"/>
          <w:spacing w:val="6"/>
          <w:kern w:val="0"/>
          <w:sz w:val="24"/>
          <w:szCs w:val="24"/>
          <w:highlight w:val="none"/>
          <w:lang w:val="en-US" w:eastAsia="zh-CN"/>
        </w:rPr>
        <w:t>3</w:t>
      </w:r>
      <w:r>
        <w:rPr>
          <w:rFonts w:ascii="宋体" w:hAnsi="宋体" w:eastAsia="宋体" w:cs="宋体"/>
          <w:snapToGrid w:val="0"/>
          <w:color w:val="auto"/>
          <w:spacing w:val="6"/>
          <w:kern w:val="0"/>
          <w:sz w:val="24"/>
          <w:szCs w:val="24"/>
          <w:highlight w:val="none"/>
          <w:lang w:eastAsia="en-US"/>
        </w:rPr>
        <w:t>、验收标准：按采购文件要求、本合同要求、乙方的投标承诺或国家相关标准，相关标准之</w:t>
      </w:r>
      <w:r>
        <w:rPr>
          <w:rFonts w:ascii="宋体" w:hAnsi="宋体" w:eastAsia="宋体" w:cs="宋体"/>
          <w:snapToGrid w:val="0"/>
          <w:color w:val="auto"/>
          <w:spacing w:val="16"/>
          <w:kern w:val="0"/>
          <w:sz w:val="24"/>
          <w:szCs w:val="24"/>
          <w:highlight w:val="none"/>
          <w:lang w:eastAsia="en-US"/>
        </w:rPr>
        <w:t xml:space="preserve"> </w:t>
      </w:r>
      <w:r>
        <w:rPr>
          <w:rFonts w:ascii="宋体" w:hAnsi="宋体" w:eastAsia="宋体" w:cs="宋体"/>
          <w:snapToGrid w:val="0"/>
          <w:color w:val="auto"/>
          <w:spacing w:val="6"/>
          <w:kern w:val="0"/>
          <w:sz w:val="24"/>
          <w:szCs w:val="24"/>
          <w:highlight w:val="none"/>
          <w:lang w:eastAsia="en-US"/>
        </w:rPr>
        <w:t>间有冲突的，按较高标准执行。</w:t>
      </w:r>
    </w:p>
    <w:p w14:paraId="22156C68">
      <w:pPr>
        <w:keepNext w:val="0"/>
        <w:keepLines w:val="0"/>
        <w:pageBreakBefore w:val="0"/>
        <w:kinsoku/>
        <w:wordWrap/>
        <w:topLinePunct w:val="0"/>
        <w:autoSpaceDE/>
        <w:autoSpaceDN/>
        <w:bidi w:val="0"/>
        <w:adjustRightInd/>
        <w:spacing w:line="360" w:lineRule="auto"/>
        <w:ind w:right="0"/>
        <w:jc w:val="left"/>
        <w:textAlignment w:val="auto"/>
        <w:rPr>
          <w:rFonts w:hint="eastAsia" w:ascii="宋体" w:hAnsi="宋体" w:eastAsia="宋体" w:cs="宋体"/>
          <w:b/>
          <w:bCs/>
          <w:color w:val="auto"/>
          <w:kern w:val="2"/>
          <w:sz w:val="24"/>
          <w:szCs w:val="24"/>
          <w:highlight w:val="none"/>
          <w:lang w:val="zh-CN" w:eastAsia="zh-CN"/>
        </w:rPr>
      </w:pPr>
      <w:r>
        <w:rPr>
          <w:rFonts w:hint="eastAsia" w:ascii="宋体" w:hAnsi="宋体" w:eastAsia="宋体" w:cs="宋体"/>
          <w:b/>
          <w:bCs/>
          <w:color w:val="auto"/>
          <w:kern w:val="2"/>
          <w:sz w:val="24"/>
          <w:szCs w:val="24"/>
          <w:highlight w:val="none"/>
          <w:lang w:val="en-US" w:eastAsia="zh-CN"/>
        </w:rPr>
        <w:t>六</w:t>
      </w:r>
      <w:r>
        <w:rPr>
          <w:rFonts w:hint="eastAsia" w:ascii="宋体" w:hAnsi="宋体" w:eastAsia="宋体" w:cs="宋体"/>
          <w:b/>
          <w:bCs/>
          <w:color w:val="auto"/>
          <w:kern w:val="2"/>
          <w:sz w:val="24"/>
          <w:szCs w:val="24"/>
          <w:highlight w:val="none"/>
          <w:lang w:val="zh-CN"/>
        </w:rPr>
        <w:t>、甲、乙双方的</w:t>
      </w:r>
      <w:r>
        <w:rPr>
          <w:rFonts w:hint="eastAsia" w:ascii="宋体" w:hAnsi="宋体" w:eastAsia="宋体" w:cs="宋体"/>
          <w:b/>
          <w:bCs/>
          <w:color w:val="auto"/>
          <w:kern w:val="2"/>
          <w:sz w:val="24"/>
          <w:szCs w:val="24"/>
          <w:highlight w:val="none"/>
          <w:lang w:val="zh-CN" w:eastAsia="zh-CN"/>
        </w:rPr>
        <w:t>权利及义务</w:t>
      </w:r>
    </w:p>
    <w:p w14:paraId="088C22C2">
      <w:pPr>
        <w:keepNext w:val="0"/>
        <w:keepLines w:val="0"/>
        <w:pageBreakBefore w:val="0"/>
        <w:widowControl w:val="0"/>
        <w:kinsoku/>
        <w:wordWrap/>
        <w:overflowPunct/>
        <w:topLinePunct w:val="0"/>
        <w:autoSpaceDE/>
        <w:autoSpaceDN/>
        <w:bidi w:val="0"/>
        <w:adjustRightInd/>
        <w:snapToGrid/>
        <w:spacing w:before="100" w:beforeAutospacing="1" w:after="200" w:line="360" w:lineRule="auto"/>
        <w:ind w:firstLine="47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6.1甲方权利及义务：</w:t>
      </w:r>
    </w:p>
    <w:p w14:paraId="7FAF0FB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1）甲方有权根据管理需要修改服务内容、工作要求以及要求乙方调整工作人员，检查、监督乙方管理工作的实施及制度的执行情况；有权对乙方的日常服务工作进行监督和管理，如乙方的工作人员不履行合同约定的服务内容，或者不服从甲方合理的工作安排和监督管理的，视其情节轻重，甲方有权要求乙方对其采取批评教育、处分、撤换等措施，乙方必须按甲方要求处理，乙方逾期超过5日不处理的，甲方有权单方解除本合同，由此产生的一切损失均由乙方承担。</w:t>
      </w:r>
    </w:p>
    <w:p w14:paraId="4874E69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（2）按照合同规定支付乙方相关服务费用。</w:t>
      </w:r>
    </w:p>
    <w:p w14:paraId="363CA19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（3）合同履行期内，当出现相关法律修正或上级行政部门出台相关政策与本合同约定不相符，甲方有权调整合同内容或提前终止本合同，双方依据乙方的实际工作量据实结算，甲方不承担由此产生的违约责任。</w:t>
      </w:r>
    </w:p>
    <w:p w14:paraId="2416CB5F">
      <w:pPr>
        <w:keepNext w:val="0"/>
        <w:keepLines w:val="0"/>
        <w:pageBreakBefore w:val="0"/>
        <w:widowControl w:val="0"/>
        <w:kinsoku/>
        <w:wordWrap/>
        <w:overflowPunct/>
        <w:topLinePunct w:val="0"/>
        <w:autoSpaceDE/>
        <w:autoSpaceDN/>
        <w:bidi w:val="0"/>
        <w:adjustRightInd/>
        <w:snapToGrid/>
        <w:spacing w:before="100" w:beforeAutospacing="1" w:after="200" w:line="360" w:lineRule="auto"/>
        <w:ind w:firstLine="47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6.2乙方权利及义务：</w:t>
      </w:r>
    </w:p>
    <w:p w14:paraId="0E60EB8F">
      <w:pPr>
        <w:keepNext w:val="0"/>
        <w:keepLines w:val="0"/>
        <w:pageBreakBefore w:val="0"/>
        <w:widowControl w:val="0"/>
        <w:kinsoku/>
        <w:wordWrap/>
        <w:overflowPunct/>
        <w:topLinePunct w:val="0"/>
        <w:autoSpaceDE/>
        <w:autoSpaceDN/>
        <w:bidi w:val="0"/>
        <w:adjustRightInd/>
        <w:snapToGrid/>
        <w:spacing w:beforeAutospacing="0" w:line="360" w:lineRule="auto"/>
        <w:ind w:firstLine="480"/>
        <w:jc w:val="left"/>
        <w:textAlignment w:val="auto"/>
        <w:rPr>
          <w:rFonts w:hint="eastAsia" w:ascii="宋体" w:hAnsi="宋体" w:eastAsia="宋体" w:cs="宋体"/>
          <w:color w:val="auto"/>
          <w:sz w:val="24"/>
          <w:szCs w:val="24"/>
          <w:highlight w:val="none"/>
          <w:lang w:val="en-US" w:eastAsia="zh-CN" w:bidi="ar-SA"/>
        </w:rPr>
      </w:pPr>
      <w:bookmarkStart w:id="15" w:name="_Toc182849086"/>
      <w:r>
        <w:rPr>
          <w:rFonts w:hint="eastAsia" w:ascii="宋体" w:hAnsi="宋体" w:eastAsia="宋体" w:cs="宋体"/>
          <w:color w:val="auto"/>
          <w:sz w:val="24"/>
          <w:szCs w:val="22"/>
          <w:highlight w:val="none"/>
          <w:lang w:val="en-US" w:eastAsia="zh-CN" w:bidi="ar-SA"/>
        </w:rPr>
        <w:t>（1）乙方应严格遵循招标文件确定的采购内容开展工作。</w:t>
      </w:r>
    </w:p>
    <w:p w14:paraId="112876CB">
      <w:pPr>
        <w:keepNext w:val="0"/>
        <w:keepLines w:val="0"/>
        <w:pageBreakBefore w:val="0"/>
        <w:widowControl w:val="0"/>
        <w:kinsoku/>
        <w:wordWrap/>
        <w:overflowPunct/>
        <w:topLinePunct w:val="0"/>
        <w:autoSpaceDE/>
        <w:autoSpaceDN/>
        <w:bidi w:val="0"/>
        <w:adjustRightInd/>
        <w:snapToGrid/>
        <w:spacing w:beforeAutospacing="0"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（2）乙方在履行合同过程中，不得将服务项目分包或者转包给第三方。</w:t>
      </w:r>
    </w:p>
    <w:p w14:paraId="405EA29B">
      <w:pPr>
        <w:keepNext w:val="0"/>
        <w:keepLines w:val="0"/>
        <w:pageBreakBefore w:val="0"/>
        <w:widowControl w:val="0"/>
        <w:kinsoku/>
        <w:wordWrap/>
        <w:overflowPunct/>
        <w:topLinePunct w:val="0"/>
        <w:autoSpaceDE/>
        <w:autoSpaceDN/>
        <w:bidi w:val="0"/>
        <w:adjustRightInd/>
        <w:snapToGrid/>
        <w:spacing w:beforeAutospacing="0"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（3）乙方对提供给甲方的各类报告的真实性、合法性负责，并承担相应责任。</w:t>
      </w:r>
    </w:p>
    <w:bookmarkEnd w:id="15"/>
    <w:p w14:paraId="069609BB">
      <w:pPr>
        <w:keepNext w:val="0"/>
        <w:keepLines w:val="0"/>
        <w:pageBreakBefore w:val="0"/>
        <w:widowControl w:val="0"/>
        <w:kinsoku/>
        <w:wordWrap/>
        <w:overflowPunct/>
        <w:topLinePunct w:val="0"/>
        <w:autoSpaceDE/>
        <w:autoSpaceDN/>
        <w:bidi w:val="0"/>
        <w:adjustRightInd/>
        <w:snapToGrid/>
        <w:spacing w:beforeAutospacing="0"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4）乙方应根据有关法律、法规、规章、政策和本项目合同的规定在服务区域内开展工作，不得损害国家、集体及第三人的合法权益，不得获取不当利益。由此所产生的一切法律责任由乙方承担，如因此导致甲方承担相应的法律责任和经济责任的，甲方可依法向乙方追偿。</w:t>
      </w:r>
    </w:p>
    <w:p w14:paraId="3FF6228D">
      <w:pPr>
        <w:keepNext w:val="0"/>
        <w:keepLines w:val="0"/>
        <w:pageBreakBefore w:val="0"/>
        <w:widowControl w:val="0"/>
        <w:kinsoku/>
        <w:wordWrap/>
        <w:overflowPunct/>
        <w:topLinePunct w:val="0"/>
        <w:autoSpaceDE/>
        <w:autoSpaceDN/>
        <w:bidi w:val="0"/>
        <w:adjustRightInd/>
        <w:snapToGrid/>
        <w:spacing w:beforeAutospacing="0"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（5）乙方应根据甲方要求选派思想品德好、纪律性和责任心强、业务水平过硬的工作人员，并对其进行岗前和岗中培训。乙方在其投标文件中确定的项目组成员，非经甲方书面同意，不得更改。</w:t>
      </w:r>
    </w:p>
    <w:p w14:paraId="14CDA93B">
      <w:pPr>
        <w:keepNext w:val="0"/>
        <w:keepLines w:val="0"/>
        <w:pageBreakBefore w:val="0"/>
        <w:widowControl w:val="0"/>
        <w:kinsoku/>
        <w:wordWrap/>
        <w:overflowPunct/>
        <w:topLinePunct w:val="0"/>
        <w:autoSpaceDE/>
        <w:autoSpaceDN/>
        <w:bidi w:val="0"/>
        <w:adjustRightInd/>
        <w:snapToGrid/>
        <w:spacing w:beforeAutospacing="0"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6）乙方应按照相关法律法规对工作人员进行管理，向工作人员提供劳动和社会保险待遇，包括工资福利待遇、加班费、工伤、解除或者终止劳动关系经济补偿金、赔偿金等费用，为作业人员缴纳社会保险费和购买人身意外险，以及保障作业人员的休息权利等。乙方保证其用工行为符合国家法律有关规定，乙方与工作人员的任何劳动纠纷与甲方无关。</w:t>
      </w:r>
    </w:p>
    <w:p w14:paraId="349D7B9A">
      <w:pPr>
        <w:keepNext w:val="0"/>
        <w:keepLines w:val="0"/>
        <w:pageBreakBefore w:val="0"/>
        <w:widowControl w:val="0"/>
        <w:kinsoku/>
        <w:wordWrap/>
        <w:overflowPunct/>
        <w:topLinePunct w:val="0"/>
        <w:autoSpaceDE/>
        <w:autoSpaceDN/>
        <w:bidi w:val="0"/>
        <w:adjustRightInd/>
        <w:snapToGrid/>
        <w:spacing w:beforeAutospacing="0"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7）乙方在服务过程中，合法权益受到第三人侵害的，乙方应向侵权人追究法律责任，不得向甲方要求补偿或者赔偿。若乙方工作人员因暴力抵抗、意外事件、自身行为等原因受到人身损害的，乙方应当按照劳动和社会保障法律法规及有关政策的规定承担用人单位的经济责任和法律责任，甲方对此不承担任何责任。</w:t>
      </w:r>
    </w:p>
    <w:p w14:paraId="3B2A9F25">
      <w:pPr>
        <w:keepNext w:val="0"/>
        <w:keepLines w:val="0"/>
        <w:pageBreakBefore w:val="0"/>
        <w:widowControl/>
        <w:kinsoku/>
        <w:wordWrap/>
        <w:overflowPunct/>
        <w:topLinePunct w:val="0"/>
        <w:autoSpaceDE/>
        <w:autoSpaceDN/>
        <w:bidi w:val="0"/>
        <w:adjustRightInd/>
        <w:snapToGrid/>
        <w:spacing w:beforeAutospacing="0" w:line="360" w:lineRule="auto"/>
        <w:ind w:firstLine="316"/>
        <w:jc w:val="both"/>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1"/>
          <w:highlight w:val="none"/>
          <w:lang w:val="en-US" w:eastAsia="zh-CN" w:bidi="ar-SA"/>
        </w:rPr>
        <w:t>（8）乙方应在签订本合同之日起7日内，将具体提供服务的技术人员的名单、身份证号、学历、证书、简历和照片等资料，以及乙方联络人联络方式提供给甲方</w:t>
      </w:r>
      <w:r>
        <w:rPr>
          <w:rFonts w:hint="eastAsia" w:ascii="宋体" w:hAnsi="宋体" w:eastAsia="宋体" w:cs="宋体"/>
          <w:color w:val="auto"/>
          <w:sz w:val="24"/>
          <w:szCs w:val="24"/>
          <w:highlight w:val="none"/>
          <w:lang w:val="en-US" w:eastAsia="zh-CN" w:bidi="ar-SA"/>
        </w:rPr>
        <w:t>。</w:t>
      </w:r>
    </w:p>
    <w:p w14:paraId="645776DB">
      <w:pPr>
        <w:spacing w:line="360" w:lineRule="auto"/>
        <w:jc w:val="left"/>
        <w:rPr>
          <w:rFonts w:hint="default"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eastAsia="zh-CN"/>
        </w:rPr>
        <w:t>七、</w:t>
      </w:r>
      <w:r>
        <w:rPr>
          <w:rFonts w:hint="default" w:ascii="宋体" w:hAnsi="宋体" w:eastAsia="宋体" w:cs="宋体"/>
          <w:b/>
          <w:bCs/>
          <w:color w:val="auto"/>
          <w:kern w:val="2"/>
          <w:sz w:val="24"/>
          <w:szCs w:val="24"/>
          <w:highlight w:val="none"/>
        </w:rPr>
        <w:t xml:space="preserve"> 保密条款</w:t>
      </w:r>
    </w:p>
    <w:p w14:paraId="67858D23">
      <w:pPr>
        <w:spacing w:line="360" w:lineRule="auto"/>
        <w:ind w:firstLine="480"/>
        <w:jc w:val="left"/>
        <w:rPr>
          <w:rFonts w:hint="default" w:ascii="宋体" w:hAnsi="宋体" w:eastAsia="宋体" w:cs="宋体"/>
          <w:color w:val="auto"/>
          <w:kern w:val="2"/>
          <w:sz w:val="24"/>
          <w:szCs w:val="24"/>
          <w:highlight w:val="none"/>
        </w:rPr>
      </w:pPr>
      <w:r>
        <w:rPr>
          <w:rFonts w:hint="default" w:ascii="宋体" w:hAnsi="宋体" w:eastAsia="宋体" w:cs="宋体"/>
          <w:color w:val="auto"/>
          <w:kern w:val="2"/>
          <w:sz w:val="24"/>
          <w:szCs w:val="24"/>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311485A">
      <w:pPr>
        <w:spacing w:line="360" w:lineRule="auto"/>
        <w:jc w:val="left"/>
        <w:rPr>
          <w:rFonts w:hint="default" w:ascii="宋体" w:hAnsi="宋体" w:eastAsia="宋体" w:cs="宋体"/>
          <w:b/>
          <w:bCs w:val="0"/>
          <w:color w:val="auto"/>
          <w:kern w:val="2"/>
          <w:sz w:val="24"/>
          <w:szCs w:val="24"/>
          <w:highlight w:val="none"/>
        </w:rPr>
      </w:pPr>
      <w:r>
        <w:rPr>
          <w:rFonts w:hint="eastAsia" w:ascii="宋体" w:hAnsi="宋体" w:eastAsia="宋体" w:cs="宋体"/>
          <w:b/>
          <w:bCs w:val="0"/>
          <w:color w:val="auto"/>
          <w:kern w:val="2"/>
          <w:sz w:val="24"/>
          <w:szCs w:val="24"/>
          <w:highlight w:val="none"/>
          <w:lang w:eastAsia="zh-CN"/>
        </w:rPr>
        <w:t>八、</w:t>
      </w:r>
      <w:r>
        <w:rPr>
          <w:rFonts w:hint="default" w:ascii="宋体" w:hAnsi="宋体" w:eastAsia="宋体" w:cs="宋体"/>
          <w:b/>
          <w:bCs w:val="0"/>
          <w:color w:val="auto"/>
          <w:kern w:val="2"/>
          <w:sz w:val="24"/>
          <w:szCs w:val="24"/>
          <w:highlight w:val="none"/>
        </w:rPr>
        <w:t xml:space="preserve"> 风险责任</w:t>
      </w:r>
    </w:p>
    <w:p w14:paraId="5D1F0691">
      <w:pPr>
        <w:spacing w:line="360" w:lineRule="auto"/>
        <w:ind w:firstLine="480"/>
        <w:jc w:val="left"/>
        <w:rPr>
          <w:rFonts w:hint="default" w:ascii="宋体" w:hAnsi="宋体" w:eastAsia="宋体" w:cs="宋体"/>
          <w:color w:val="auto"/>
          <w:kern w:val="2"/>
          <w:sz w:val="24"/>
          <w:szCs w:val="24"/>
          <w:highlight w:val="none"/>
        </w:rPr>
      </w:pPr>
      <w:r>
        <w:rPr>
          <w:rFonts w:hint="default" w:ascii="宋体" w:hAnsi="宋体" w:eastAsia="宋体" w:cs="宋体"/>
          <w:color w:val="auto"/>
          <w:kern w:val="2"/>
          <w:sz w:val="24"/>
          <w:szCs w:val="24"/>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475111F3">
      <w:pPr>
        <w:keepNext w:val="0"/>
        <w:keepLines w:val="0"/>
        <w:pageBreakBefore w:val="0"/>
        <w:widowControl w:val="0"/>
        <w:kinsoku/>
        <w:wordWrap/>
        <w:overflowPunct/>
        <w:topLinePunct w:val="0"/>
        <w:autoSpaceDE/>
        <w:autoSpaceDN/>
        <w:bidi w:val="0"/>
        <w:snapToGrid/>
        <w:spacing w:line="360" w:lineRule="auto"/>
        <w:ind w:right="0" w:rightChars="0"/>
        <w:jc w:val="left"/>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eastAsia="zh-CN"/>
        </w:rPr>
        <w:t>九</w:t>
      </w:r>
      <w:r>
        <w:rPr>
          <w:rFonts w:hint="eastAsia" w:ascii="宋体" w:hAnsi="宋体" w:eastAsia="宋体" w:cs="宋体"/>
          <w:b/>
          <w:bCs/>
          <w:color w:val="auto"/>
          <w:kern w:val="2"/>
          <w:sz w:val="24"/>
          <w:szCs w:val="24"/>
          <w:highlight w:val="none"/>
        </w:rPr>
        <w:t>、违约责任</w:t>
      </w:r>
    </w:p>
    <w:p w14:paraId="77BD9C85">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1. </w:t>
      </w:r>
      <w:r>
        <w:rPr>
          <w:rFonts w:hint="eastAsia" w:ascii="宋体" w:hAnsi="宋体" w:eastAsia="宋体" w:cs="宋体"/>
          <w:color w:val="auto"/>
          <w:kern w:val="2"/>
          <w:sz w:val="24"/>
          <w:szCs w:val="24"/>
          <w:highlight w:val="none"/>
        </w:rPr>
        <w:t>在合同生效后，甲方无理由要求终止服务的，应向乙方偿付合同总价款的5%，作为违约金，违约金不足以补偿损失的，乙方有权要求甲方补足。</w:t>
      </w:r>
    </w:p>
    <w:p w14:paraId="0D0C870D">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2. </w:t>
      </w:r>
      <w:r>
        <w:rPr>
          <w:rFonts w:hint="eastAsia" w:ascii="宋体" w:hAnsi="宋体" w:eastAsia="宋体" w:cs="宋体"/>
          <w:color w:val="auto"/>
          <w:kern w:val="2"/>
          <w:sz w:val="24"/>
          <w:szCs w:val="24"/>
          <w:highlight w:val="none"/>
        </w:rPr>
        <w:t>甲方逾期付款的，应按照逾期付款金额的每天万分之四支付逾期付款违约金。</w:t>
      </w:r>
    </w:p>
    <w:p w14:paraId="7EC5BD46">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3. </w:t>
      </w:r>
      <w:r>
        <w:rPr>
          <w:rFonts w:hint="eastAsia" w:ascii="宋体" w:hAnsi="宋体" w:eastAsia="宋体" w:cs="宋体"/>
          <w:color w:val="auto"/>
          <w:kern w:val="2"/>
          <w:sz w:val="24"/>
          <w:szCs w:val="24"/>
          <w:highlight w:val="none"/>
        </w:rPr>
        <w:t>乙方不能按时提供服务或服务不合格从而影响甲方按期正常使用的，甲方有权解除合同，乙方应向甲方偿付合同总价款</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%的违约金。</w:t>
      </w:r>
    </w:p>
    <w:p w14:paraId="58BA845C">
      <w:pPr>
        <w:spacing w:line="360" w:lineRule="auto"/>
        <w:ind w:firstLine="480" w:firstLineChars="200"/>
        <w:jc w:val="lef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 xml:space="preserve">4. </w:t>
      </w:r>
      <w:r>
        <w:rPr>
          <w:rFonts w:hint="eastAsia" w:ascii="宋体" w:hAnsi="宋体" w:eastAsia="宋体" w:cs="宋体"/>
          <w:color w:val="auto"/>
          <w:kern w:val="2"/>
          <w:sz w:val="24"/>
          <w:szCs w:val="24"/>
          <w:highlight w:val="none"/>
        </w:rPr>
        <w:t>乙方项目组成员须按投标文件承诺人员配备，未经甲方同意不得擅自更换</w:t>
      </w:r>
      <w:r>
        <w:rPr>
          <w:rFonts w:hint="eastAsia" w:ascii="宋体" w:hAnsi="宋体" w:eastAsia="宋体" w:cs="宋体"/>
          <w:color w:val="auto"/>
          <w:kern w:val="2"/>
          <w:sz w:val="24"/>
          <w:szCs w:val="24"/>
          <w:highlight w:val="none"/>
          <w:lang w:eastAsia="zh-CN"/>
        </w:rPr>
        <w:t>。</w:t>
      </w:r>
    </w:p>
    <w:p w14:paraId="3C02C94B">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5. </w:t>
      </w:r>
      <w:r>
        <w:rPr>
          <w:rFonts w:hint="eastAsia" w:ascii="宋体" w:hAnsi="宋体" w:eastAsia="宋体" w:cs="宋体"/>
          <w:color w:val="auto"/>
          <w:kern w:val="2"/>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54208FA8">
      <w:pPr>
        <w:spacing w:line="360" w:lineRule="auto"/>
        <w:ind w:firstLine="480"/>
        <w:jc w:val="left"/>
        <w:rPr>
          <w:rFonts w:hint="eastAsia" w:ascii="宋体" w:hAnsi="宋体" w:eastAsia="宋体" w:cs="宋体"/>
          <w:b/>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 xml:space="preserve">6. </w:t>
      </w:r>
      <w:r>
        <w:rPr>
          <w:rFonts w:hint="eastAsia" w:ascii="宋体" w:hAnsi="宋体" w:eastAsia="宋体" w:cs="宋体"/>
          <w:color w:val="auto"/>
          <w:kern w:val="2"/>
          <w:sz w:val="24"/>
          <w:szCs w:val="24"/>
          <w:highlight w:val="none"/>
        </w:rPr>
        <w:t>其他未尽事宜，</w:t>
      </w:r>
      <w:r>
        <w:rPr>
          <w:rFonts w:hint="eastAsia" w:ascii="宋体" w:hAnsi="宋体" w:eastAsia="宋体" w:cs="宋体"/>
          <w:color w:val="auto"/>
          <w:kern w:val="2"/>
          <w:sz w:val="24"/>
          <w:szCs w:val="24"/>
          <w:highlight w:val="none"/>
          <w:lang w:eastAsia="zh-CN"/>
        </w:rPr>
        <w:t>以</w:t>
      </w:r>
      <w:r>
        <w:rPr>
          <w:rFonts w:hint="eastAsia" w:ascii="宋体" w:hAnsi="宋体" w:eastAsia="宋体" w:cs="宋体"/>
          <w:color w:val="auto"/>
          <w:kern w:val="2"/>
          <w:sz w:val="24"/>
          <w:szCs w:val="24"/>
          <w:highlight w:val="none"/>
        </w:rPr>
        <w:t>《政府采购法》等有关法律法规规定为准，无相关规定的，双方协商解决。</w:t>
      </w:r>
    </w:p>
    <w:p w14:paraId="51DEC84A">
      <w:pPr>
        <w:spacing w:line="360" w:lineRule="auto"/>
        <w:jc w:val="lef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十、</w:t>
      </w:r>
      <w:r>
        <w:rPr>
          <w:rFonts w:hint="eastAsia" w:ascii="宋体" w:hAnsi="宋体" w:eastAsia="宋体" w:cs="宋体"/>
          <w:b/>
          <w:color w:val="auto"/>
          <w:kern w:val="2"/>
          <w:sz w:val="24"/>
          <w:szCs w:val="24"/>
          <w:highlight w:val="none"/>
        </w:rPr>
        <w:t xml:space="preserve"> 不可抗力</w:t>
      </w:r>
    </w:p>
    <w:p w14:paraId="22FCF41E">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甲、乙方中任何一方，因不可抗力不能按时或完全履行合同的，应及时通知对方，并在七个工作日内提供相应证明。未履行完合同部分是否继续履行、如何履行等问题，可由双方初步协商，并向主管部门和政府采购管理部门报告。确定为不可抗力原因造成的损失，可以部分或全部免除责任。</w:t>
      </w:r>
    </w:p>
    <w:p w14:paraId="3BFEC6B5">
      <w:pPr>
        <w:spacing w:line="360" w:lineRule="auto"/>
        <w:ind w:firstLine="480"/>
        <w:jc w:val="left"/>
        <w:rPr>
          <w:rFonts w:hint="eastAsia" w:ascii="宋体" w:hAnsi="宋体" w:eastAsia="宋体" w:cs="宋体"/>
          <w:b/>
          <w:color w:val="auto"/>
          <w:kern w:val="2"/>
          <w:sz w:val="24"/>
          <w:szCs w:val="24"/>
          <w:highlight w:val="none"/>
          <w:lang w:eastAsia="zh-CN"/>
        </w:rPr>
      </w:pPr>
      <w:r>
        <w:rPr>
          <w:rFonts w:hint="eastAsia" w:ascii="宋体" w:hAnsi="宋体" w:eastAsia="宋体" w:cs="宋体"/>
          <w:color w:val="auto"/>
          <w:kern w:val="2"/>
          <w:sz w:val="24"/>
          <w:szCs w:val="24"/>
          <w:highlight w:val="none"/>
        </w:rPr>
        <w:t>因合同一方迟延履行后发生不可抗力的，不能免除责任。</w:t>
      </w:r>
    </w:p>
    <w:p w14:paraId="44C85B0C">
      <w:pPr>
        <w:spacing w:line="360" w:lineRule="auto"/>
        <w:jc w:val="lef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十一、</w:t>
      </w:r>
      <w:r>
        <w:rPr>
          <w:rFonts w:hint="eastAsia" w:ascii="宋体" w:hAnsi="宋体" w:eastAsia="宋体" w:cs="宋体"/>
          <w:b/>
          <w:color w:val="auto"/>
          <w:kern w:val="2"/>
          <w:sz w:val="24"/>
          <w:szCs w:val="24"/>
          <w:highlight w:val="none"/>
        </w:rPr>
        <w:t xml:space="preserve"> 索赔</w:t>
      </w:r>
    </w:p>
    <w:p w14:paraId="4F3634F4">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如在项目服务提供、使用过程中，甲方发现项目</w:t>
      </w:r>
      <w:r>
        <w:rPr>
          <w:rFonts w:hint="eastAsia" w:ascii="Times New Roman" w:hAnsi="Times New Roman" w:eastAsia="宋体" w:cs="宋体"/>
          <w:color w:val="auto"/>
          <w:kern w:val="2"/>
          <w:sz w:val="24"/>
          <w:szCs w:val="24"/>
          <w:highlight w:val="none"/>
          <w:lang w:eastAsia="zh-CN"/>
        </w:rPr>
        <w:t>服务</w:t>
      </w:r>
      <w:r>
        <w:rPr>
          <w:rFonts w:hint="eastAsia" w:ascii="宋体" w:hAnsi="宋体" w:eastAsia="宋体" w:cs="宋体"/>
          <w:color w:val="auto"/>
          <w:kern w:val="2"/>
          <w:sz w:val="24"/>
          <w:szCs w:val="24"/>
          <w:highlight w:val="none"/>
        </w:rPr>
        <w:t xml:space="preserve">质量与合同内容有不符或不满足国家标准或行业标准，有权向乙方提出索赔，乙方在收到甲方索赔通知后 （ ）天内应免费进行补救或弥补相应的缺陷。如果乙方在收到通知后(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3CB50BEA">
      <w:pPr>
        <w:keepNext w:val="0"/>
        <w:keepLines w:val="0"/>
        <w:pageBreakBefore w:val="0"/>
        <w:widowControl w:val="0"/>
        <w:kinsoku/>
        <w:wordWrap/>
        <w:overflowPunct/>
        <w:topLinePunct w:val="0"/>
        <w:autoSpaceDE/>
        <w:autoSpaceDN/>
        <w:bidi w:val="0"/>
        <w:snapToGrid/>
        <w:spacing w:line="360" w:lineRule="auto"/>
        <w:ind w:right="0" w:rightChars="0"/>
        <w:jc w:val="lef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eastAsia="zh-CN"/>
        </w:rPr>
        <w:t>十二</w:t>
      </w:r>
      <w:r>
        <w:rPr>
          <w:rFonts w:hint="eastAsia" w:ascii="宋体" w:hAnsi="宋体" w:eastAsia="宋体" w:cs="宋体"/>
          <w:b/>
          <w:bCs/>
          <w:color w:val="auto"/>
          <w:kern w:val="2"/>
          <w:sz w:val="24"/>
          <w:szCs w:val="24"/>
          <w:highlight w:val="none"/>
        </w:rPr>
        <w:t>、合同的解除和转让</w:t>
      </w:r>
    </w:p>
    <w:p w14:paraId="5BFF88C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1、合同的解除</w:t>
      </w:r>
    </w:p>
    <w:p w14:paraId="1162AB5C">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（1）有下列情形之一，合同一方可以解除合同：</w:t>
      </w:r>
    </w:p>
    <w:p w14:paraId="461E85AC">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① 因不可抗力致使不能实现合同目的，未受不可抗力影响的一方有权解除合同；</w:t>
      </w:r>
    </w:p>
    <w:p w14:paraId="393B41B1">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② 因合同一方违约导致合同不能履行，另一方有权解除合同；</w:t>
      </w:r>
    </w:p>
    <w:p w14:paraId="62D670EB">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（2）有权解除合同的一方，应当在违约事实或不可抗力发生之后三十天内书面通知对方以主张解除合同，合同在书面通知到达对方时解除。</w:t>
      </w:r>
    </w:p>
    <w:p w14:paraId="56339D24">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2、合同的转让</w:t>
      </w:r>
    </w:p>
    <w:p w14:paraId="4BE74464">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合同的部分和全部都不得转让。</w:t>
      </w:r>
    </w:p>
    <w:p w14:paraId="3CE40599">
      <w:pPr>
        <w:keepNext w:val="0"/>
        <w:keepLines w:val="0"/>
        <w:pageBreakBefore w:val="0"/>
        <w:widowControl w:val="0"/>
        <w:kinsoku/>
        <w:wordWrap/>
        <w:overflowPunct/>
        <w:topLinePunct w:val="0"/>
        <w:autoSpaceDE/>
        <w:autoSpaceDN/>
        <w:bidi w:val="0"/>
        <w:snapToGrid/>
        <w:spacing w:line="360" w:lineRule="auto"/>
        <w:ind w:right="0" w:rightChars="0"/>
        <w:jc w:val="left"/>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十三</w:t>
      </w:r>
      <w:r>
        <w:rPr>
          <w:rFonts w:hint="eastAsia" w:ascii="宋体" w:hAnsi="宋体" w:eastAsia="宋体" w:cs="宋体"/>
          <w:b/>
          <w:bCs/>
          <w:color w:val="auto"/>
          <w:kern w:val="2"/>
          <w:sz w:val="24"/>
          <w:szCs w:val="24"/>
          <w:highlight w:val="none"/>
        </w:rPr>
        <w:t>、合同的生效</w:t>
      </w:r>
    </w:p>
    <w:p w14:paraId="2FCA8C09">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1、本合同在双方签字盖章后经即生效，生效后交由</w:t>
      </w:r>
      <w:r>
        <w:rPr>
          <w:rFonts w:hint="eastAsia" w:ascii="宋体" w:hAnsi="宋体" w:cs="宋体"/>
          <w:color w:val="auto"/>
          <w:kern w:val="2"/>
          <w:sz w:val="24"/>
          <w:szCs w:val="24"/>
          <w:highlight w:val="none"/>
          <w:lang w:val="en-US" w:eastAsia="zh-CN"/>
        </w:rPr>
        <w:t>江苏启越工程管理有限公司</w:t>
      </w:r>
      <w:r>
        <w:rPr>
          <w:rFonts w:hint="eastAsia" w:ascii="宋体" w:hAnsi="宋体" w:eastAsia="宋体" w:cs="宋体"/>
          <w:color w:val="auto"/>
          <w:kern w:val="2"/>
          <w:sz w:val="24"/>
          <w:szCs w:val="24"/>
          <w:highlight w:val="none"/>
        </w:rPr>
        <w:t>备案。</w:t>
      </w:r>
    </w:p>
    <w:p w14:paraId="2AAB57CE">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合同在执行过程中出现的未尽事宜，双方在不违背本合同和招标文件的原则下协商解决，协商结果以书面形式盖章记录在案，作为本合同的附件，与本合同具有同等效力，但需向政府采购办公室和招标代理机构备存。</w:t>
      </w:r>
    </w:p>
    <w:p w14:paraId="2447B61D">
      <w:pPr>
        <w:spacing w:line="360" w:lineRule="auto"/>
        <w:rPr>
          <w:rFonts w:hint="eastAsia" w:ascii="宋体" w:hAnsi="宋体" w:eastAsia="宋体" w:cs="宋体"/>
          <w:b w:val="0"/>
          <w:bCs/>
          <w:color w:val="auto"/>
          <w:kern w:val="2"/>
          <w:sz w:val="24"/>
          <w:szCs w:val="24"/>
          <w:highlight w:val="none"/>
        </w:rPr>
      </w:pPr>
      <w:r>
        <w:rPr>
          <w:rFonts w:hint="eastAsia" w:ascii="宋体" w:hAnsi="宋体" w:eastAsia="宋体" w:cs="宋体"/>
          <w:b/>
          <w:bCs w:val="0"/>
          <w:color w:val="auto"/>
          <w:kern w:val="2"/>
          <w:sz w:val="24"/>
          <w:szCs w:val="24"/>
          <w:highlight w:val="none"/>
          <w:lang w:eastAsia="zh-CN"/>
        </w:rPr>
        <w:t>十四、</w:t>
      </w:r>
      <w:r>
        <w:rPr>
          <w:rFonts w:hint="eastAsia" w:ascii="宋体" w:hAnsi="宋体" w:eastAsia="宋体" w:cs="宋体"/>
          <w:b/>
          <w:bCs w:val="0"/>
          <w:color w:val="auto"/>
          <w:kern w:val="2"/>
          <w:sz w:val="24"/>
          <w:szCs w:val="24"/>
          <w:highlight w:val="none"/>
        </w:rPr>
        <w:t>争议的解决</w:t>
      </w:r>
    </w:p>
    <w:p w14:paraId="25D3E1D3">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1. </w:t>
      </w:r>
      <w:r>
        <w:rPr>
          <w:rFonts w:hint="eastAsia" w:ascii="宋体" w:hAnsi="宋体" w:eastAsia="宋体" w:cs="宋体"/>
          <w:color w:val="auto"/>
          <w:kern w:val="2"/>
          <w:sz w:val="24"/>
          <w:szCs w:val="24"/>
          <w:highlight w:val="none"/>
        </w:rPr>
        <w:t>因履行本合同引起的或与本合同有关的争议，甲、乙双方应首先通过友好协商解决，如果协商不能解决争议，则采取以下第（</w:t>
      </w:r>
      <w:r>
        <w:rPr>
          <w:rFonts w:hint="eastAsia" w:ascii="宋体" w:hAnsi="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）种方式解决争议：</w:t>
      </w:r>
    </w:p>
    <w:p w14:paraId="40D02F85">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（1）向</w:t>
      </w:r>
      <w:r>
        <w:rPr>
          <w:rFonts w:hint="eastAsia" w:ascii="宋体" w:hAnsi="宋体" w:cs="宋体"/>
          <w:color w:val="auto"/>
          <w:kern w:val="2"/>
          <w:sz w:val="24"/>
          <w:szCs w:val="24"/>
          <w:highlight w:val="none"/>
          <w:lang w:val="en-US" w:eastAsia="zh-CN"/>
        </w:rPr>
        <w:t>太仓市</w:t>
      </w:r>
      <w:r>
        <w:rPr>
          <w:rFonts w:hint="eastAsia" w:ascii="宋体" w:hAnsi="宋体" w:eastAsia="宋体" w:cs="宋体"/>
          <w:color w:val="auto"/>
          <w:kern w:val="2"/>
          <w:sz w:val="24"/>
          <w:szCs w:val="24"/>
          <w:highlight w:val="none"/>
        </w:rPr>
        <w:t>人民法院提起诉讼；</w:t>
      </w:r>
    </w:p>
    <w:p w14:paraId="52BB045E">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（2）向甲方所在地仲裁委员会按其仲裁规则申请仲裁。</w:t>
      </w:r>
    </w:p>
    <w:p w14:paraId="3102EFC3">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、在法院审理和仲裁期间，除有争议部分外，本合同其他部分应继续履行。</w:t>
      </w:r>
    </w:p>
    <w:p w14:paraId="6AE0F402">
      <w:pPr>
        <w:spacing w:line="360" w:lineRule="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十五</w:t>
      </w:r>
      <w:r>
        <w:rPr>
          <w:rFonts w:hint="eastAsia" w:ascii="宋体" w:hAnsi="宋体" w:eastAsia="宋体" w:cs="宋体"/>
          <w:b/>
          <w:bCs/>
          <w:color w:val="auto"/>
          <w:kern w:val="2"/>
          <w:sz w:val="24"/>
          <w:szCs w:val="24"/>
          <w:highlight w:val="none"/>
        </w:rPr>
        <w:t>、附则</w:t>
      </w:r>
    </w:p>
    <w:p w14:paraId="245F8633">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1、合同份数</w:t>
      </w:r>
    </w:p>
    <w:p w14:paraId="1A13B9DC">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本合同一式伍份，甲方</w:t>
      </w:r>
      <w:r>
        <w:rPr>
          <w:rFonts w:hint="eastAsia" w:ascii="宋体" w:hAnsi="宋体" w:eastAsia="宋体" w:cs="宋体"/>
          <w:color w:val="auto"/>
          <w:kern w:val="2"/>
          <w:sz w:val="24"/>
          <w:szCs w:val="24"/>
          <w:highlight w:val="none"/>
          <w:lang w:val="en-US" w:eastAsia="zh-CN"/>
        </w:rPr>
        <w:t>二</w:t>
      </w:r>
      <w:r>
        <w:rPr>
          <w:rFonts w:hint="eastAsia" w:ascii="宋体" w:hAnsi="宋体" w:eastAsia="宋体" w:cs="宋体"/>
          <w:color w:val="auto"/>
          <w:kern w:val="2"/>
          <w:sz w:val="24"/>
          <w:szCs w:val="24"/>
          <w:highlight w:val="none"/>
        </w:rPr>
        <w:t>份、乙方</w:t>
      </w:r>
      <w:r>
        <w:rPr>
          <w:rFonts w:hint="eastAsia" w:ascii="宋体" w:hAnsi="宋体" w:eastAsia="宋体" w:cs="宋体"/>
          <w:color w:val="auto"/>
          <w:kern w:val="2"/>
          <w:sz w:val="24"/>
          <w:szCs w:val="24"/>
          <w:highlight w:val="none"/>
          <w:lang w:val="en-US" w:eastAsia="zh-CN"/>
        </w:rPr>
        <w:t>二</w:t>
      </w:r>
      <w:r>
        <w:rPr>
          <w:rFonts w:hint="eastAsia" w:ascii="宋体" w:hAnsi="宋体" w:eastAsia="宋体" w:cs="宋体"/>
          <w:color w:val="auto"/>
          <w:kern w:val="2"/>
          <w:sz w:val="24"/>
          <w:szCs w:val="24"/>
          <w:highlight w:val="none"/>
        </w:rPr>
        <w:t>份，招标代理机构一份。</w:t>
      </w:r>
    </w:p>
    <w:p w14:paraId="20C79638">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2、未尽事宜</w:t>
      </w:r>
    </w:p>
    <w:p w14:paraId="615760F4">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按《中华人民共和国</w:t>
      </w:r>
      <w:r>
        <w:rPr>
          <w:rFonts w:hint="eastAsia" w:ascii="宋体" w:hAnsi="宋体" w:eastAsia="宋体" w:cs="宋体"/>
          <w:color w:val="auto"/>
          <w:kern w:val="2"/>
          <w:sz w:val="24"/>
          <w:szCs w:val="24"/>
          <w:highlight w:val="none"/>
          <w:lang w:val="en-US" w:eastAsia="zh-CN"/>
        </w:rPr>
        <w:t>民法典</w:t>
      </w:r>
      <w:r>
        <w:rPr>
          <w:rFonts w:hint="eastAsia" w:ascii="宋体" w:hAnsi="宋体" w:eastAsia="宋体" w:cs="宋体"/>
          <w:color w:val="auto"/>
          <w:kern w:val="2"/>
          <w:sz w:val="24"/>
          <w:szCs w:val="24"/>
          <w:highlight w:val="none"/>
        </w:rPr>
        <w:t>》及其他有关法律法规的规定执行。</w:t>
      </w:r>
    </w:p>
    <w:p w14:paraId="2539D2FE">
      <w:pPr>
        <w:spacing w:line="360" w:lineRule="auto"/>
        <w:ind w:firstLine="480" w:firstLineChars="200"/>
        <w:rPr>
          <w:rFonts w:hint="eastAsia" w:ascii="宋体" w:hAnsi="宋体" w:eastAsia="宋体" w:cs="宋体"/>
          <w:color w:val="auto"/>
          <w:kern w:val="2"/>
          <w:sz w:val="24"/>
          <w:szCs w:val="24"/>
          <w:highlight w:val="none"/>
        </w:rPr>
      </w:pPr>
    </w:p>
    <w:p w14:paraId="18D41D09">
      <w:pPr>
        <w:spacing w:line="360" w:lineRule="auto"/>
        <w:ind w:firstLine="480" w:firstLineChars="200"/>
        <w:rPr>
          <w:rFonts w:hint="eastAsia" w:ascii="宋体" w:hAnsi="宋体" w:eastAsia="宋体" w:cs="宋体"/>
          <w:color w:val="auto"/>
          <w:kern w:val="2"/>
          <w:sz w:val="24"/>
          <w:szCs w:val="24"/>
          <w:highlight w:val="none"/>
        </w:rPr>
      </w:pPr>
    </w:p>
    <w:p w14:paraId="7D0273DC">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甲方（公章）：                        乙方（公章）：</w:t>
      </w:r>
      <w:r>
        <w:rPr>
          <w:rFonts w:hint="eastAsia" w:ascii="宋体" w:hAnsi="宋体" w:eastAsia="宋体" w:cs="宋体"/>
          <w:color w:val="auto"/>
          <w:kern w:val="2"/>
          <w:sz w:val="24"/>
          <w:szCs w:val="24"/>
          <w:highlight w:val="none"/>
          <w:lang w:val="en-US" w:eastAsia="zh-CN"/>
        </w:rPr>
        <w:t xml:space="preserve">              </w:t>
      </w:r>
    </w:p>
    <w:p w14:paraId="5C7BDA5D">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法</w:t>
      </w:r>
      <w:r>
        <w:rPr>
          <w:rFonts w:hint="eastAsia" w:ascii="宋体" w:hAnsi="宋体" w:eastAsia="宋体" w:cs="宋体"/>
          <w:color w:val="auto"/>
          <w:kern w:val="2"/>
          <w:sz w:val="24"/>
          <w:szCs w:val="24"/>
          <w:highlight w:val="none"/>
        </w:rPr>
        <w:t>定代表人</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 xml:space="preserve">                          法定代表人</w:t>
      </w:r>
    </w:p>
    <w:p w14:paraId="27159D35">
      <w:pPr>
        <w:keepNext w:val="0"/>
        <w:keepLines w:val="0"/>
        <w:pageBreakBefore w:val="0"/>
        <w:widowControl w:val="0"/>
        <w:kinsoku/>
        <w:wordWrap/>
        <w:overflowPunct/>
        <w:topLinePunct w:val="0"/>
        <w:autoSpaceDE/>
        <w:autoSpaceDN/>
        <w:bidi w:val="0"/>
        <w:snapToGrid/>
        <w:spacing w:line="360" w:lineRule="auto"/>
        <w:ind w:left="719" w:leftChars="228" w:right="0" w:rightChars="0" w:hanging="240" w:hangingChars="100"/>
        <w:jc w:val="left"/>
        <w:rPr>
          <w:rFonts w:hint="eastAsia" w:ascii="宋体" w:hAnsi="宋体" w:eastAsia="宋体" w:cs="Times New Roman"/>
          <w:color w:val="auto"/>
          <w:kern w:val="2"/>
          <w:sz w:val="24"/>
          <w:szCs w:val="24"/>
          <w:highlight w:val="none"/>
        </w:rPr>
      </w:pPr>
      <w:r>
        <w:rPr>
          <w:rFonts w:hint="eastAsia" w:ascii="宋体" w:hAnsi="宋体" w:eastAsia="宋体" w:cs="宋体"/>
          <w:color w:val="auto"/>
          <w:kern w:val="2"/>
          <w:sz w:val="24"/>
          <w:szCs w:val="24"/>
          <w:highlight w:val="none"/>
        </w:rPr>
        <w:t>或其</w:t>
      </w:r>
      <w:r>
        <w:rPr>
          <w:rFonts w:hint="eastAsia" w:ascii="宋体" w:hAnsi="宋体" w:eastAsia="宋体" w:cs="宋体"/>
          <w:color w:val="auto"/>
          <w:kern w:val="0"/>
          <w:sz w:val="24"/>
          <w:szCs w:val="24"/>
          <w:highlight w:val="none"/>
        </w:rPr>
        <w:t>授权代理人</w:t>
      </w:r>
      <w:r>
        <w:rPr>
          <w:rFonts w:hint="eastAsia" w:ascii="宋体" w:hAnsi="宋体" w:eastAsia="宋体" w:cs="宋体"/>
          <w:color w:val="auto"/>
          <w:kern w:val="2"/>
          <w:sz w:val="24"/>
          <w:szCs w:val="24"/>
          <w:highlight w:val="none"/>
        </w:rPr>
        <w:t xml:space="preserve">                        或其</w:t>
      </w:r>
      <w:r>
        <w:rPr>
          <w:rFonts w:hint="eastAsia" w:ascii="宋体" w:hAnsi="宋体" w:eastAsia="宋体" w:cs="宋体"/>
          <w:color w:val="auto"/>
          <w:kern w:val="0"/>
          <w:sz w:val="24"/>
          <w:szCs w:val="24"/>
          <w:highlight w:val="none"/>
        </w:rPr>
        <w:t>授权代理人</w:t>
      </w:r>
      <w:r>
        <w:rPr>
          <w:rFonts w:hint="eastAsia" w:ascii="Times New Roman"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2"/>
          <w:sz w:val="24"/>
          <w:szCs w:val="24"/>
          <w:highlight w:val="none"/>
        </w:rPr>
        <w:t>年   月   日                          年   月   日</w:t>
      </w:r>
    </w:p>
    <w:p w14:paraId="6F972EBF">
      <w:pPr>
        <w:numPr>
          <w:ilvl w:val="0"/>
          <w:numId w:val="0"/>
        </w:num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0AA1D8D2">
      <w:pPr>
        <w:jc w:val="both"/>
        <w:rPr>
          <w:rFonts w:hint="eastAsia" w:ascii="宋体" w:hAnsi="宋体" w:eastAsia="宋体" w:cs="宋体"/>
          <w:color w:val="auto"/>
          <w:kern w:val="0"/>
          <w:sz w:val="21"/>
          <w:szCs w:val="21"/>
          <w:highlight w:val="none"/>
        </w:rPr>
      </w:pPr>
    </w:p>
    <w:p w14:paraId="5A49C8C4">
      <w:pPr>
        <w:ind w:firstLine="480" w:firstLineChars="20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备案方：</w:t>
      </w:r>
    </w:p>
    <w:p w14:paraId="745D1434">
      <w:pPr>
        <w:jc w:val="left"/>
        <w:rPr>
          <w:rFonts w:hint="eastAsia" w:ascii="宋体" w:hAnsi="宋体" w:eastAsia="宋体" w:cs="宋体"/>
          <w:color w:val="auto"/>
          <w:kern w:val="0"/>
          <w:sz w:val="21"/>
          <w:szCs w:val="21"/>
          <w:highlight w:val="none"/>
          <w:lang w:eastAsia="zh-CN"/>
        </w:rPr>
      </w:pPr>
    </w:p>
    <w:p w14:paraId="738307E6">
      <w:pPr>
        <w:jc w:val="left"/>
        <w:rPr>
          <w:rFonts w:hint="eastAsia" w:ascii="宋体" w:hAnsi="宋体" w:eastAsia="宋体" w:cs="宋体"/>
          <w:color w:val="auto"/>
          <w:kern w:val="0"/>
          <w:sz w:val="21"/>
          <w:szCs w:val="21"/>
          <w:highlight w:val="none"/>
          <w:lang w:eastAsia="zh-CN"/>
        </w:rPr>
      </w:pPr>
    </w:p>
    <w:p w14:paraId="6CFF7F12">
      <w:pPr>
        <w:jc w:val="left"/>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附件1：</w:t>
      </w:r>
    </w:p>
    <w:tbl>
      <w:tblPr>
        <w:tblStyle w:val="1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40"/>
        <w:gridCol w:w="1158"/>
        <w:gridCol w:w="1265"/>
        <w:gridCol w:w="1380"/>
        <w:gridCol w:w="1345"/>
        <w:gridCol w:w="1175"/>
        <w:gridCol w:w="2118"/>
      </w:tblGrid>
      <w:tr w14:paraId="5B483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00" w:type="pct"/>
            <w:gridSpan w:val="7"/>
            <w:noWrap w:val="0"/>
            <w:tcMar>
              <w:top w:w="100" w:type="dxa"/>
              <w:bottom w:w="100" w:type="dxa"/>
            </w:tcMar>
            <w:vAlign w:val="center"/>
          </w:tcPr>
          <w:p w14:paraId="043E1F52">
            <w:pPr>
              <w:ind w:firstLine="2160" w:firstLineChars="900"/>
              <w:jc w:val="both"/>
              <w:rPr>
                <w:rFonts w:hint="eastAsia"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eastAsia="宋体" w:cs="Times New Roman Regular"/>
                <w:color w:val="auto"/>
                <w:sz w:val="24"/>
                <w:szCs w:val="24"/>
                <w:highlight w:val="none"/>
                <w:lang w:val="en-US" w:eastAsia="zh-CN"/>
              </w:rPr>
              <w:t>服务内</w:t>
            </w:r>
            <w:r>
              <w:rPr>
                <w:rFonts w:hint="eastAsia" w:ascii="Times New Roman Regular" w:hAnsi="Times New Roman Regular" w:eastAsia="宋体" w:cs="Times New Roman Regular"/>
                <w:color w:val="auto"/>
                <w:kern w:val="0"/>
                <w:sz w:val="24"/>
                <w:szCs w:val="24"/>
                <w:highlight w:val="none"/>
                <w:lang w:val="en-US" w:eastAsia="zh-CN"/>
              </w:rPr>
              <w:t>容：</w:t>
            </w:r>
            <w:r>
              <w:rPr>
                <w:rFonts w:hint="eastAsia" w:ascii="Times New Roman Regular" w:hAnsi="Times New Roman Regular" w:eastAsia="宋体" w:cs="Times New Roman Regular"/>
                <w:color w:val="auto"/>
                <w:kern w:val="0"/>
                <w:sz w:val="24"/>
                <w:szCs w:val="24"/>
                <w:highlight w:val="none"/>
                <w:lang w:eastAsia="zh-CN"/>
              </w:rPr>
              <w:t>建设项目环评和危废发证技术评估</w:t>
            </w:r>
          </w:p>
        </w:tc>
      </w:tr>
      <w:tr w14:paraId="537DA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300" w:type="pct"/>
            <w:noWrap w:val="0"/>
            <w:tcMar>
              <w:top w:w="100" w:type="dxa"/>
              <w:bottom w:w="100" w:type="dxa"/>
            </w:tcMar>
            <w:vAlign w:val="center"/>
          </w:tcPr>
          <w:p w14:paraId="408C4B2E">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序号</w:t>
            </w:r>
          </w:p>
        </w:tc>
        <w:tc>
          <w:tcPr>
            <w:tcW w:w="644" w:type="pct"/>
            <w:noWrap w:val="0"/>
            <w:tcMar>
              <w:top w:w="100" w:type="dxa"/>
              <w:bottom w:w="100" w:type="dxa"/>
            </w:tcMar>
            <w:vAlign w:val="center"/>
          </w:tcPr>
          <w:p w14:paraId="3CF7D65C">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名称</w:t>
            </w:r>
          </w:p>
        </w:tc>
        <w:tc>
          <w:tcPr>
            <w:tcW w:w="704" w:type="pct"/>
            <w:noWrap w:val="0"/>
            <w:tcMar>
              <w:top w:w="100" w:type="dxa"/>
              <w:bottom w:w="100" w:type="dxa"/>
            </w:tcMar>
            <w:vAlign w:val="center"/>
          </w:tcPr>
          <w:p w14:paraId="01787375">
            <w:pPr>
              <w:pStyle w:val="28"/>
              <w:jc w:val="center"/>
              <w:rPr>
                <w:rFonts w:hint="eastAsia"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eastAsia="宋体" w:cs="Times New Roman Regular"/>
                <w:color w:val="auto"/>
                <w:sz w:val="24"/>
                <w:szCs w:val="24"/>
                <w:highlight w:val="none"/>
                <w:lang w:val="en-US" w:eastAsia="zh-CN"/>
              </w:rPr>
              <w:t>单价最高限价</w:t>
            </w:r>
          </w:p>
          <w:p w14:paraId="6C499E92">
            <w:pPr>
              <w:pStyle w:val="28"/>
              <w:jc w:val="center"/>
              <w:rPr>
                <w:rFonts w:hint="default"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eastAsia="宋体" w:cs="Times New Roman Regular"/>
                <w:color w:val="auto"/>
                <w:sz w:val="24"/>
                <w:szCs w:val="24"/>
                <w:highlight w:val="none"/>
                <w:lang w:val="en-US" w:eastAsia="zh-CN"/>
              </w:rPr>
              <w:t>（元/个）</w:t>
            </w:r>
          </w:p>
        </w:tc>
        <w:tc>
          <w:tcPr>
            <w:tcW w:w="768" w:type="pct"/>
            <w:noWrap w:val="0"/>
            <w:tcMar>
              <w:top w:w="100" w:type="dxa"/>
              <w:bottom w:w="100" w:type="dxa"/>
            </w:tcMar>
            <w:vAlign w:val="center"/>
          </w:tcPr>
          <w:p w14:paraId="0271EB58">
            <w:pPr>
              <w:pStyle w:val="28"/>
              <w:jc w:val="center"/>
              <w:rPr>
                <w:rFonts w:ascii="宋体" w:hAnsi="宋体" w:eastAsia="宋体" w:cs="宋体"/>
                <w:snapToGrid w:val="0"/>
                <w:color w:val="auto"/>
                <w:spacing w:val="13"/>
                <w:kern w:val="0"/>
                <w:sz w:val="24"/>
                <w:szCs w:val="24"/>
                <w:highlight w:val="none"/>
                <w:lang w:eastAsia="en-US"/>
              </w:rPr>
            </w:pPr>
            <w:r>
              <w:rPr>
                <w:rFonts w:ascii="宋体" w:hAnsi="宋体" w:eastAsia="宋体" w:cs="宋体"/>
                <w:snapToGrid w:val="0"/>
                <w:color w:val="auto"/>
                <w:spacing w:val="3"/>
                <w:kern w:val="0"/>
                <w:sz w:val="24"/>
                <w:szCs w:val="24"/>
                <w:highlight w:val="none"/>
                <w:lang w:eastAsia="en-US"/>
              </w:rPr>
              <w:t>结算单</w:t>
            </w:r>
            <w:r>
              <w:rPr>
                <w:rFonts w:ascii="宋体" w:hAnsi="宋体" w:eastAsia="宋体" w:cs="宋体"/>
                <w:snapToGrid w:val="0"/>
                <w:color w:val="auto"/>
                <w:spacing w:val="13"/>
                <w:kern w:val="0"/>
                <w:sz w:val="24"/>
                <w:szCs w:val="24"/>
                <w:highlight w:val="none"/>
                <w:lang w:eastAsia="en-US"/>
              </w:rPr>
              <w:t>价</w:t>
            </w:r>
          </w:p>
          <w:p w14:paraId="65977EE6">
            <w:pPr>
              <w:pStyle w:val="28"/>
              <w:jc w:val="center"/>
              <w:rPr>
                <w:rFonts w:hint="eastAsia" w:ascii="Times New Roman Regular" w:hAnsi="Times New Roman Regular" w:eastAsia="宋体" w:cs="Times New Roman Regular"/>
                <w:color w:val="auto"/>
                <w:sz w:val="24"/>
                <w:szCs w:val="24"/>
                <w:highlight w:val="none"/>
                <w:lang w:val="en-US" w:eastAsia="zh-CN"/>
              </w:rPr>
            </w:pPr>
            <w:r>
              <w:rPr>
                <w:rFonts w:ascii="宋体" w:hAnsi="宋体" w:eastAsia="宋体" w:cs="宋体"/>
                <w:snapToGrid w:val="0"/>
                <w:color w:val="auto"/>
                <w:spacing w:val="13"/>
                <w:kern w:val="0"/>
                <w:sz w:val="24"/>
                <w:szCs w:val="24"/>
                <w:highlight w:val="none"/>
                <w:lang w:eastAsia="en-US"/>
              </w:rPr>
              <w:t>(元</w:t>
            </w:r>
            <w:r>
              <w:rPr>
                <w:rFonts w:hint="eastAsia" w:ascii="宋体" w:hAnsi="宋体" w:eastAsia="宋体" w:cs="宋体"/>
                <w:snapToGrid w:val="0"/>
                <w:color w:val="auto"/>
                <w:spacing w:val="13"/>
                <w:kern w:val="0"/>
                <w:sz w:val="24"/>
                <w:szCs w:val="24"/>
                <w:highlight w:val="none"/>
                <w:lang w:val="en-US" w:eastAsia="zh-CN"/>
              </w:rPr>
              <w:t>/个</w:t>
            </w:r>
            <w:r>
              <w:rPr>
                <w:rFonts w:ascii="宋体" w:hAnsi="宋体" w:eastAsia="宋体" w:cs="宋体"/>
                <w:snapToGrid w:val="0"/>
                <w:color w:val="auto"/>
                <w:spacing w:val="13"/>
                <w:kern w:val="0"/>
                <w:sz w:val="24"/>
                <w:szCs w:val="24"/>
                <w:highlight w:val="none"/>
                <w:lang w:eastAsia="en-US"/>
              </w:rPr>
              <w:t>)</w:t>
            </w:r>
          </w:p>
        </w:tc>
        <w:tc>
          <w:tcPr>
            <w:tcW w:w="748" w:type="pct"/>
            <w:noWrap w:val="0"/>
            <w:tcMar>
              <w:top w:w="100" w:type="dxa"/>
              <w:bottom w:w="100" w:type="dxa"/>
            </w:tcMar>
            <w:vAlign w:val="center"/>
          </w:tcPr>
          <w:p w14:paraId="4A1EF95B">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所属行业</w:t>
            </w:r>
          </w:p>
        </w:tc>
        <w:tc>
          <w:tcPr>
            <w:tcW w:w="654" w:type="pct"/>
            <w:noWrap w:val="0"/>
            <w:tcMar>
              <w:top w:w="100" w:type="dxa"/>
              <w:bottom w:w="100" w:type="dxa"/>
            </w:tcMar>
            <w:vAlign w:val="center"/>
          </w:tcPr>
          <w:p w14:paraId="363D972D">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标的类型</w:t>
            </w:r>
          </w:p>
        </w:tc>
        <w:tc>
          <w:tcPr>
            <w:tcW w:w="1179" w:type="pct"/>
            <w:noWrap w:val="0"/>
            <w:tcMar>
              <w:top w:w="100" w:type="dxa"/>
              <w:bottom w:w="100" w:type="dxa"/>
            </w:tcMar>
            <w:vAlign w:val="center"/>
          </w:tcPr>
          <w:p w14:paraId="09298C82">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标的属性</w:t>
            </w:r>
          </w:p>
        </w:tc>
      </w:tr>
      <w:tr w14:paraId="0B932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300" w:type="pct"/>
            <w:noWrap w:val="0"/>
            <w:tcMar>
              <w:top w:w="100" w:type="dxa"/>
              <w:bottom w:w="100" w:type="dxa"/>
            </w:tcMar>
            <w:vAlign w:val="center"/>
          </w:tcPr>
          <w:p w14:paraId="0F390C8A">
            <w:pPr>
              <w:pStyle w:val="28"/>
              <w:jc w:val="center"/>
              <w:rPr>
                <w:rFonts w:hint="eastAsia" w:ascii="Times New Roman Regular" w:hAnsi="Times New Roman Regular" w:eastAsia="宋体" w:cs="Times New Roman Regular"/>
                <w:color w:val="auto"/>
                <w:sz w:val="24"/>
                <w:szCs w:val="24"/>
                <w:highlight w:val="none"/>
              </w:rPr>
            </w:pPr>
            <w:r>
              <w:rPr>
                <w:rFonts w:ascii="宋体" w:hAnsi="宋体" w:eastAsia="宋体" w:cs="宋体"/>
                <w:color w:val="auto"/>
                <w:sz w:val="24"/>
                <w:szCs w:val="24"/>
                <w:highlight w:val="none"/>
              </w:rPr>
              <w:t>1</w:t>
            </w:r>
          </w:p>
        </w:tc>
        <w:tc>
          <w:tcPr>
            <w:tcW w:w="644" w:type="pct"/>
            <w:noWrap w:val="0"/>
            <w:tcMar>
              <w:top w:w="100" w:type="dxa"/>
              <w:bottom w:w="100" w:type="dxa"/>
            </w:tcMar>
            <w:vAlign w:val="center"/>
          </w:tcPr>
          <w:p w14:paraId="4A39642B">
            <w:pPr>
              <w:pStyle w:val="28"/>
              <w:jc w:val="center"/>
              <w:rPr>
                <w:rFonts w:hint="default" w:ascii="Times New Roman Regular" w:hAnsi="Times New Roman Regular" w:eastAsia="宋体" w:cs="Times New Roman Regular"/>
                <w:color w:val="auto"/>
                <w:sz w:val="24"/>
                <w:szCs w:val="24"/>
                <w:highlight w:val="none"/>
                <w:lang w:val="en-US"/>
              </w:rPr>
            </w:pPr>
            <w:r>
              <w:rPr>
                <w:rFonts w:hint="default" w:ascii="宋体" w:hAnsi="宋体" w:eastAsia="宋体" w:cstheme="minorBidi"/>
                <w:color w:val="auto"/>
                <w:kern w:val="2"/>
                <w:sz w:val="24"/>
                <w:szCs w:val="24"/>
                <w:highlight w:val="none"/>
                <w:lang w:val="en-US" w:eastAsia="zh-CN" w:bidi="ar-SA"/>
              </w:rPr>
              <w:t>环境影响报告书技术评估</w:t>
            </w:r>
            <w:r>
              <w:rPr>
                <w:rFonts w:hint="eastAsia" w:ascii="宋体" w:hAnsi="宋体" w:eastAsia="宋体" w:cstheme="minorBidi"/>
                <w:color w:val="auto"/>
                <w:kern w:val="2"/>
                <w:sz w:val="24"/>
                <w:szCs w:val="24"/>
                <w:highlight w:val="none"/>
                <w:lang w:val="en-US" w:eastAsia="zh-CN" w:bidi="ar-SA"/>
              </w:rPr>
              <w:t>与审查</w:t>
            </w:r>
          </w:p>
        </w:tc>
        <w:tc>
          <w:tcPr>
            <w:tcW w:w="704" w:type="pct"/>
            <w:noWrap w:val="0"/>
            <w:tcMar>
              <w:top w:w="100" w:type="dxa"/>
              <w:bottom w:w="100" w:type="dxa"/>
            </w:tcMar>
            <w:vAlign w:val="center"/>
          </w:tcPr>
          <w:p w14:paraId="6C9719F4">
            <w:pPr>
              <w:pStyle w:val="28"/>
              <w:jc w:val="center"/>
              <w:rPr>
                <w:rFonts w:hint="default" w:ascii="Times New Roman" w:hAnsi="Times New Roman" w:eastAsia="Times New Roman" w:cstheme="minorBidi"/>
                <w:color w:val="auto"/>
                <w:kern w:val="2"/>
                <w:sz w:val="24"/>
                <w:szCs w:val="24"/>
                <w:highlight w:val="none"/>
                <w:lang w:val="en-US" w:eastAsia="zh-CN" w:bidi="ar-SA"/>
              </w:rPr>
            </w:pPr>
          </w:p>
        </w:tc>
        <w:tc>
          <w:tcPr>
            <w:tcW w:w="768" w:type="pct"/>
            <w:noWrap w:val="0"/>
            <w:tcMar>
              <w:top w:w="100" w:type="dxa"/>
              <w:bottom w:w="100" w:type="dxa"/>
            </w:tcMar>
            <w:vAlign w:val="center"/>
          </w:tcPr>
          <w:p w14:paraId="68A8FE85">
            <w:pPr>
              <w:pStyle w:val="28"/>
              <w:jc w:val="center"/>
              <w:rPr>
                <w:rFonts w:hint="default" w:ascii="宋体" w:hAnsi="宋体" w:eastAsia="宋体" w:cstheme="minorBidi"/>
                <w:color w:val="auto"/>
                <w:kern w:val="2"/>
                <w:sz w:val="24"/>
                <w:szCs w:val="24"/>
                <w:highlight w:val="none"/>
                <w:lang w:val="en-US" w:eastAsia="zh-CN" w:bidi="ar-SA"/>
              </w:rPr>
            </w:pPr>
          </w:p>
        </w:tc>
        <w:tc>
          <w:tcPr>
            <w:tcW w:w="748" w:type="pct"/>
            <w:noWrap w:val="0"/>
            <w:tcMar>
              <w:top w:w="100" w:type="dxa"/>
              <w:bottom w:w="100" w:type="dxa"/>
            </w:tcMar>
            <w:vAlign w:val="center"/>
          </w:tcPr>
          <w:p w14:paraId="78FCE534">
            <w:pPr>
              <w:pStyle w:val="28"/>
              <w:jc w:val="center"/>
              <w:rPr>
                <w:rFonts w:hint="eastAsia" w:ascii="Times New Roman Regular" w:hAnsi="Times New Roman Regular" w:eastAsia="宋体" w:cs="Times New Roman Regular"/>
                <w:color w:val="auto"/>
                <w:sz w:val="24"/>
                <w:szCs w:val="24"/>
                <w:highlight w:val="none"/>
              </w:rPr>
            </w:pPr>
            <w:r>
              <w:rPr>
                <w:rFonts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654" w:type="pct"/>
            <w:noWrap w:val="0"/>
            <w:tcMar>
              <w:top w:w="100" w:type="dxa"/>
              <w:bottom w:w="100" w:type="dxa"/>
            </w:tcMar>
            <w:vAlign w:val="center"/>
          </w:tcPr>
          <w:p w14:paraId="196D3B1F">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主要采购标的</w:t>
            </w:r>
          </w:p>
        </w:tc>
        <w:tc>
          <w:tcPr>
            <w:tcW w:w="1179" w:type="pct"/>
            <w:noWrap w:val="0"/>
            <w:tcMar>
              <w:top w:w="100" w:type="dxa"/>
              <w:bottom w:w="100" w:type="dxa"/>
            </w:tcMar>
            <w:vAlign w:val="center"/>
          </w:tcPr>
          <w:p w14:paraId="53B5DC8E">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服务类</w:t>
            </w:r>
          </w:p>
        </w:tc>
      </w:tr>
      <w:tr w14:paraId="36E7D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300" w:type="pct"/>
            <w:noWrap w:val="0"/>
            <w:tcMar>
              <w:top w:w="100" w:type="dxa"/>
              <w:bottom w:w="100" w:type="dxa"/>
            </w:tcMar>
            <w:vAlign w:val="center"/>
          </w:tcPr>
          <w:p w14:paraId="0404E689">
            <w:pPr>
              <w:pStyle w:val="28"/>
              <w:jc w:val="center"/>
              <w:rPr>
                <w:rFonts w:hint="eastAsia" w:ascii="Times New Roman Regular" w:hAnsi="Times New Roman Regular" w:eastAsia="宋体" w:cs="Times New Roman Regular"/>
                <w:color w:val="auto"/>
                <w:sz w:val="24"/>
                <w:szCs w:val="24"/>
                <w:highlight w:val="none"/>
              </w:rPr>
            </w:pPr>
            <w:r>
              <w:rPr>
                <w:rFonts w:hint="eastAsia" w:ascii="宋体" w:hAnsi="宋体" w:eastAsia="宋体" w:cs="宋体"/>
                <w:color w:val="auto"/>
                <w:sz w:val="24"/>
                <w:szCs w:val="24"/>
                <w:highlight w:val="none"/>
              </w:rPr>
              <w:t>2</w:t>
            </w:r>
          </w:p>
        </w:tc>
        <w:tc>
          <w:tcPr>
            <w:tcW w:w="644" w:type="pct"/>
            <w:noWrap w:val="0"/>
            <w:tcMar>
              <w:top w:w="100" w:type="dxa"/>
              <w:bottom w:w="100" w:type="dxa"/>
            </w:tcMar>
            <w:vAlign w:val="center"/>
          </w:tcPr>
          <w:p w14:paraId="5575281C">
            <w:pPr>
              <w:pStyle w:val="28"/>
              <w:jc w:val="center"/>
              <w:rPr>
                <w:rFonts w:hint="default" w:ascii="Times New Roman Regular" w:hAnsi="Times New Roman Regular" w:eastAsia="宋体" w:cs="Times New Roman Regular"/>
                <w:color w:val="auto"/>
                <w:sz w:val="24"/>
                <w:szCs w:val="24"/>
                <w:highlight w:val="none"/>
                <w:lang w:val="en-US"/>
              </w:rPr>
            </w:pPr>
            <w:r>
              <w:rPr>
                <w:rFonts w:hint="default" w:ascii="宋体" w:hAnsi="宋体" w:eastAsia="宋体" w:cstheme="minorBidi"/>
                <w:color w:val="auto"/>
                <w:kern w:val="2"/>
                <w:sz w:val="24"/>
                <w:szCs w:val="24"/>
                <w:highlight w:val="none"/>
                <w:lang w:val="en-US" w:eastAsia="zh-CN" w:bidi="ar-SA"/>
              </w:rPr>
              <w:t>环境影响报告表技术评估</w:t>
            </w:r>
            <w:r>
              <w:rPr>
                <w:rFonts w:hint="eastAsia" w:ascii="宋体" w:hAnsi="宋体" w:eastAsia="宋体" w:cstheme="minorBidi"/>
                <w:color w:val="auto"/>
                <w:kern w:val="2"/>
                <w:sz w:val="24"/>
                <w:szCs w:val="24"/>
                <w:highlight w:val="none"/>
                <w:lang w:val="en-US" w:eastAsia="zh-CN" w:bidi="ar-SA"/>
              </w:rPr>
              <w:t>与审查</w:t>
            </w:r>
          </w:p>
        </w:tc>
        <w:tc>
          <w:tcPr>
            <w:tcW w:w="704" w:type="pct"/>
            <w:noWrap w:val="0"/>
            <w:tcMar>
              <w:top w:w="100" w:type="dxa"/>
              <w:bottom w:w="100" w:type="dxa"/>
            </w:tcMar>
            <w:vAlign w:val="center"/>
          </w:tcPr>
          <w:p w14:paraId="6866E2DB">
            <w:pPr>
              <w:pStyle w:val="28"/>
              <w:jc w:val="center"/>
              <w:rPr>
                <w:rFonts w:hint="default" w:ascii="Times New Roman" w:hAnsi="Times New Roman" w:eastAsia="Times New Roman" w:cstheme="minorBidi"/>
                <w:color w:val="auto"/>
                <w:kern w:val="2"/>
                <w:sz w:val="24"/>
                <w:szCs w:val="24"/>
                <w:highlight w:val="none"/>
                <w:lang w:val="en-US" w:eastAsia="zh-CN" w:bidi="ar-SA"/>
              </w:rPr>
            </w:pPr>
          </w:p>
        </w:tc>
        <w:tc>
          <w:tcPr>
            <w:tcW w:w="768" w:type="pct"/>
            <w:noWrap w:val="0"/>
            <w:tcMar>
              <w:top w:w="100" w:type="dxa"/>
              <w:bottom w:w="100" w:type="dxa"/>
            </w:tcMar>
            <w:vAlign w:val="center"/>
          </w:tcPr>
          <w:p w14:paraId="02F833F6">
            <w:pPr>
              <w:pStyle w:val="28"/>
              <w:jc w:val="center"/>
              <w:rPr>
                <w:rFonts w:hint="default" w:ascii="宋体" w:hAnsi="宋体" w:eastAsia="宋体" w:cstheme="minorBidi"/>
                <w:color w:val="auto"/>
                <w:kern w:val="2"/>
                <w:sz w:val="24"/>
                <w:szCs w:val="24"/>
                <w:highlight w:val="none"/>
                <w:lang w:val="en-US" w:eastAsia="zh-CN" w:bidi="ar-SA"/>
              </w:rPr>
            </w:pPr>
          </w:p>
        </w:tc>
        <w:tc>
          <w:tcPr>
            <w:tcW w:w="748" w:type="pct"/>
            <w:noWrap w:val="0"/>
            <w:tcMar>
              <w:top w:w="100" w:type="dxa"/>
              <w:bottom w:w="100" w:type="dxa"/>
            </w:tcMar>
            <w:vAlign w:val="center"/>
          </w:tcPr>
          <w:p w14:paraId="5BBDD184">
            <w:pPr>
              <w:pStyle w:val="28"/>
              <w:jc w:val="center"/>
              <w:rPr>
                <w:rFonts w:hint="eastAsia" w:ascii="Times New Roman Regular" w:hAnsi="Times New Roman Regular" w:eastAsia="宋体" w:cs="Times New Roman Regular"/>
                <w:color w:val="auto"/>
                <w:sz w:val="24"/>
                <w:szCs w:val="24"/>
                <w:highlight w:val="none"/>
              </w:rPr>
            </w:pPr>
            <w:r>
              <w:rPr>
                <w:rFonts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654" w:type="pct"/>
            <w:noWrap w:val="0"/>
            <w:tcMar>
              <w:top w:w="100" w:type="dxa"/>
              <w:bottom w:w="100" w:type="dxa"/>
            </w:tcMar>
            <w:vAlign w:val="center"/>
          </w:tcPr>
          <w:p w14:paraId="7E8C7856">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主要采购标的</w:t>
            </w:r>
          </w:p>
        </w:tc>
        <w:tc>
          <w:tcPr>
            <w:tcW w:w="1179" w:type="pct"/>
            <w:noWrap w:val="0"/>
            <w:tcMar>
              <w:top w:w="100" w:type="dxa"/>
              <w:bottom w:w="100" w:type="dxa"/>
            </w:tcMar>
            <w:vAlign w:val="center"/>
          </w:tcPr>
          <w:p w14:paraId="190E8C9E">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服务类</w:t>
            </w:r>
          </w:p>
        </w:tc>
      </w:tr>
      <w:tr w14:paraId="19B4B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300" w:type="pct"/>
            <w:noWrap w:val="0"/>
            <w:tcMar>
              <w:top w:w="100" w:type="dxa"/>
              <w:bottom w:w="100" w:type="dxa"/>
            </w:tcMar>
            <w:vAlign w:val="center"/>
          </w:tcPr>
          <w:p w14:paraId="0EEE299E">
            <w:pPr>
              <w:pStyle w:val="28"/>
              <w:jc w:val="center"/>
              <w:rPr>
                <w:rFonts w:hint="eastAsia" w:ascii="Times New Roman Regular" w:hAnsi="Times New Roman Regular" w:eastAsia="宋体" w:cs="Times New Roman Regular"/>
                <w:color w:val="auto"/>
                <w:sz w:val="24"/>
                <w:szCs w:val="24"/>
                <w:highlight w:val="none"/>
              </w:rPr>
            </w:pPr>
            <w:r>
              <w:rPr>
                <w:rFonts w:hint="eastAsia" w:ascii="宋体" w:hAnsi="宋体" w:eastAsia="宋体" w:cs="宋体"/>
                <w:color w:val="auto"/>
                <w:sz w:val="24"/>
                <w:szCs w:val="24"/>
                <w:highlight w:val="none"/>
              </w:rPr>
              <w:t>3</w:t>
            </w:r>
          </w:p>
        </w:tc>
        <w:tc>
          <w:tcPr>
            <w:tcW w:w="644" w:type="pct"/>
            <w:noWrap w:val="0"/>
            <w:tcMar>
              <w:top w:w="100" w:type="dxa"/>
              <w:bottom w:w="100" w:type="dxa"/>
            </w:tcMar>
            <w:vAlign w:val="center"/>
          </w:tcPr>
          <w:p w14:paraId="1381C21A">
            <w:pPr>
              <w:pStyle w:val="28"/>
              <w:jc w:val="center"/>
              <w:rPr>
                <w:rFonts w:hint="eastAsia" w:ascii="宋体" w:hAnsi="宋体" w:eastAsia="宋体" w:cstheme="minorBidi"/>
                <w:color w:val="auto"/>
                <w:sz w:val="24"/>
                <w:szCs w:val="24"/>
                <w:highlight w:val="none"/>
                <w:lang w:eastAsia="zh-CN"/>
              </w:rPr>
            </w:pPr>
            <w:r>
              <w:rPr>
                <w:rFonts w:hint="default" w:ascii="宋体" w:hAnsi="宋体" w:eastAsia="宋体" w:cstheme="minorBidi"/>
                <w:color w:val="auto"/>
                <w:kern w:val="2"/>
                <w:sz w:val="24"/>
                <w:szCs w:val="24"/>
                <w:highlight w:val="none"/>
                <w:lang w:val="en-US" w:eastAsia="zh-CN" w:bidi="ar-SA"/>
              </w:rPr>
              <w:t>环境影响报告表</w:t>
            </w:r>
            <w:r>
              <w:rPr>
                <w:rFonts w:hint="eastAsia" w:ascii="宋体" w:hAnsi="宋体" w:eastAsia="宋体" w:cstheme="minorBidi"/>
                <w:color w:val="auto"/>
                <w:kern w:val="2"/>
                <w:sz w:val="24"/>
                <w:szCs w:val="24"/>
                <w:highlight w:val="none"/>
                <w:lang w:val="en-US" w:eastAsia="zh-CN" w:bidi="ar-SA"/>
              </w:rPr>
              <w:t>函审</w:t>
            </w:r>
          </w:p>
        </w:tc>
        <w:tc>
          <w:tcPr>
            <w:tcW w:w="704" w:type="pct"/>
            <w:noWrap w:val="0"/>
            <w:tcMar>
              <w:top w:w="100" w:type="dxa"/>
              <w:bottom w:w="100" w:type="dxa"/>
            </w:tcMar>
            <w:vAlign w:val="center"/>
          </w:tcPr>
          <w:p w14:paraId="2EB4A639">
            <w:pPr>
              <w:pStyle w:val="28"/>
              <w:jc w:val="center"/>
              <w:rPr>
                <w:rFonts w:hint="default" w:ascii="宋体" w:hAnsi="宋体" w:eastAsia="宋体" w:cstheme="minorBidi"/>
                <w:color w:val="auto"/>
                <w:kern w:val="2"/>
                <w:sz w:val="24"/>
                <w:szCs w:val="24"/>
                <w:highlight w:val="none"/>
                <w:lang w:val="en-US" w:eastAsia="zh-CN" w:bidi="ar-SA"/>
              </w:rPr>
            </w:pPr>
          </w:p>
        </w:tc>
        <w:tc>
          <w:tcPr>
            <w:tcW w:w="768" w:type="pct"/>
            <w:noWrap w:val="0"/>
            <w:tcMar>
              <w:top w:w="100" w:type="dxa"/>
              <w:bottom w:w="100" w:type="dxa"/>
            </w:tcMar>
            <w:vAlign w:val="center"/>
          </w:tcPr>
          <w:p w14:paraId="15F1223A">
            <w:pPr>
              <w:pStyle w:val="28"/>
              <w:jc w:val="center"/>
              <w:rPr>
                <w:rFonts w:hint="default" w:ascii="宋体" w:hAnsi="宋体" w:eastAsia="宋体" w:cstheme="minorBidi"/>
                <w:color w:val="auto"/>
                <w:kern w:val="2"/>
                <w:sz w:val="24"/>
                <w:szCs w:val="24"/>
                <w:highlight w:val="none"/>
                <w:lang w:val="en-US" w:eastAsia="zh-CN" w:bidi="ar-SA"/>
              </w:rPr>
            </w:pPr>
          </w:p>
        </w:tc>
        <w:tc>
          <w:tcPr>
            <w:tcW w:w="748" w:type="pct"/>
            <w:noWrap w:val="0"/>
            <w:tcMar>
              <w:top w:w="100" w:type="dxa"/>
              <w:bottom w:w="100" w:type="dxa"/>
            </w:tcMar>
            <w:vAlign w:val="center"/>
          </w:tcPr>
          <w:p w14:paraId="50DA6770">
            <w:pPr>
              <w:pStyle w:val="28"/>
              <w:jc w:val="center"/>
              <w:rPr>
                <w:rFonts w:hint="eastAsia" w:ascii="Times New Roman Regular" w:hAnsi="Times New Roman Regular" w:eastAsia="宋体" w:cs="Times New Roman Regular"/>
                <w:color w:val="auto"/>
                <w:sz w:val="24"/>
                <w:szCs w:val="24"/>
                <w:highlight w:val="none"/>
              </w:rPr>
            </w:pPr>
            <w:r>
              <w:rPr>
                <w:rFonts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654" w:type="pct"/>
            <w:noWrap w:val="0"/>
            <w:tcMar>
              <w:top w:w="100" w:type="dxa"/>
              <w:bottom w:w="100" w:type="dxa"/>
            </w:tcMar>
            <w:vAlign w:val="center"/>
          </w:tcPr>
          <w:p w14:paraId="440B1133">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主要采购标的</w:t>
            </w:r>
          </w:p>
        </w:tc>
        <w:tc>
          <w:tcPr>
            <w:tcW w:w="1179" w:type="pct"/>
            <w:noWrap w:val="0"/>
            <w:tcMar>
              <w:top w:w="100" w:type="dxa"/>
              <w:bottom w:w="100" w:type="dxa"/>
            </w:tcMar>
            <w:vAlign w:val="center"/>
          </w:tcPr>
          <w:p w14:paraId="357F893A">
            <w:pPr>
              <w:pStyle w:val="28"/>
              <w:jc w:val="center"/>
              <w:rPr>
                <w:rFonts w:hint="eastAsia"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服务类</w:t>
            </w:r>
          </w:p>
        </w:tc>
      </w:tr>
      <w:tr w14:paraId="2525F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300" w:type="pct"/>
            <w:noWrap w:val="0"/>
            <w:tcMar>
              <w:top w:w="100" w:type="dxa"/>
              <w:bottom w:w="100" w:type="dxa"/>
            </w:tcMar>
            <w:vAlign w:val="center"/>
          </w:tcPr>
          <w:p w14:paraId="43ADD228">
            <w:pPr>
              <w:pStyle w:val="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644" w:type="pct"/>
            <w:noWrap w:val="0"/>
            <w:tcMar>
              <w:top w:w="100" w:type="dxa"/>
              <w:bottom w:w="100" w:type="dxa"/>
            </w:tcMar>
            <w:vAlign w:val="center"/>
          </w:tcPr>
          <w:p w14:paraId="37259280">
            <w:pPr>
              <w:pStyle w:val="28"/>
              <w:jc w:val="center"/>
              <w:rPr>
                <w:rFonts w:hint="default" w:ascii="宋体" w:hAnsi="宋体" w:eastAsia="宋体" w:cstheme="minorBidi"/>
                <w:color w:val="auto"/>
                <w:sz w:val="24"/>
                <w:szCs w:val="24"/>
                <w:highlight w:val="none"/>
              </w:rPr>
            </w:pPr>
            <w:r>
              <w:rPr>
                <w:rFonts w:hint="eastAsia" w:ascii="宋体" w:hAnsi="宋体" w:eastAsia="宋体" w:cstheme="minorBidi"/>
                <w:color w:val="auto"/>
                <w:kern w:val="2"/>
                <w:sz w:val="24"/>
                <w:szCs w:val="24"/>
                <w:highlight w:val="none"/>
                <w:lang w:val="en-US" w:eastAsia="zh-CN" w:bidi="ar-SA"/>
              </w:rPr>
              <w:t>危废处置单位经营许可证技术评估与审查</w:t>
            </w:r>
          </w:p>
        </w:tc>
        <w:tc>
          <w:tcPr>
            <w:tcW w:w="704" w:type="pct"/>
            <w:noWrap w:val="0"/>
            <w:tcMar>
              <w:top w:w="100" w:type="dxa"/>
              <w:bottom w:w="100" w:type="dxa"/>
            </w:tcMar>
            <w:vAlign w:val="center"/>
          </w:tcPr>
          <w:p w14:paraId="23EE064C">
            <w:pPr>
              <w:pStyle w:val="28"/>
              <w:jc w:val="center"/>
              <w:rPr>
                <w:rFonts w:hint="eastAsia" w:ascii="宋体" w:hAnsi="宋体" w:eastAsia="宋体" w:cstheme="minorBidi"/>
                <w:color w:val="auto"/>
                <w:kern w:val="2"/>
                <w:sz w:val="24"/>
                <w:szCs w:val="24"/>
                <w:highlight w:val="none"/>
                <w:lang w:val="en-US" w:eastAsia="zh-CN" w:bidi="ar-SA"/>
              </w:rPr>
            </w:pPr>
          </w:p>
        </w:tc>
        <w:tc>
          <w:tcPr>
            <w:tcW w:w="768" w:type="pct"/>
            <w:noWrap w:val="0"/>
            <w:tcMar>
              <w:top w:w="100" w:type="dxa"/>
              <w:bottom w:w="100" w:type="dxa"/>
            </w:tcMar>
            <w:vAlign w:val="center"/>
          </w:tcPr>
          <w:p w14:paraId="360ADC60">
            <w:pPr>
              <w:pStyle w:val="28"/>
              <w:jc w:val="center"/>
              <w:rPr>
                <w:rFonts w:hint="eastAsia" w:ascii="宋体" w:hAnsi="宋体" w:eastAsia="宋体" w:cstheme="minorBidi"/>
                <w:color w:val="auto"/>
                <w:kern w:val="2"/>
                <w:sz w:val="24"/>
                <w:szCs w:val="24"/>
                <w:highlight w:val="none"/>
                <w:lang w:val="en-US" w:eastAsia="zh-CN" w:bidi="ar-SA"/>
              </w:rPr>
            </w:pPr>
          </w:p>
        </w:tc>
        <w:tc>
          <w:tcPr>
            <w:tcW w:w="748" w:type="pct"/>
            <w:noWrap w:val="0"/>
            <w:tcMar>
              <w:top w:w="100" w:type="dxa"/>
              <w:bottom w:w="100" w:type="dxa"/>
            </w:tcMar>
            <w:vAlign w:val="center"/>
          </w:tcPr>
          <w:p w14:paraId="67375E7D">
            <w:pPr>
              <w:pStyle w:val="28"/>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654" w:type="pct"/>
            <w:noWrap w:val="0"/>
            <w:tcMar>
              <w:top w:w="100" w:type="dxa"/>
              <w:bottom w:w="100" w:type="dxa"/>
            </w:tcMar>
            <w:vAlign w:val="center"/>
          </w:tcPr>
          <w:p w14:paraId="50B50586">
            <w:pPr>
              <w:pStyle w:val="28"/>
              <w:jc w:val="center"/>
              <w:rPr>
                <w:rFonts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主要采购标的</w:t>
            </w:r>
          </w:p>
        </w:tc>
        <w:tc>
          <w:tcPr>
            <w:tcW w:w="1179" w:type="pct"/>
            <w:noWrap w:val="0"/>
            <w:tcMar>
              <w:top w:w="100" w:type="dxa"/>
              <w:bottom w:w="100" w:type="dxa"/>
            </w:tcMar>
            <w:vAlign w:val="center"/>
          </w:tcPr>
          <w:p w14:paraId="52D9D3CB">
            <w:pPr>
              <w:pStyle w:val="28"/>
              <w:jc w:val="center"/>
              <w:rPr>
                <w:rFonts w:ascii="Times New Roman Regular" w:hAnsi="Times New Roman Regular" w:eastAsia="宋体" w:cs="Times New Roman Regular"/>
                <w:color w:val="auto"/>
                <w:sz w:val="24"/>
                <w:szCs w:val="24"/>
                <w:highlight w:val="none"/>
              </w:rPr>
            </w:pPr>
            <w:r>
              <w:rPr>
                <w:rFonts w:ascii="Times New Roman Regular" w:hAnsi="Times New Roman Regular" w:eastAsia="宋体" w:cs="Times New Roman Regular"/>
                <w:color w:val="auto"/>
                <w:sz w:val="24"/>
                <w:szCs w:val="24"/>
                <w:highlight w:val="none"/>
              </w:rPr>
              <w:t>服务类</w:t>
            </w:r>
          </w:p>
        </w:tc>
      </w:tr>
    </w:tbl>
    <w:p w14:paraId="5DF5BBCC">
      <w:pPr>
        <w:widowControl/>
        <w:kinsoku w:val="0"/>
        <w:autoSpaceDE w:val="0"/>
        <w:autoSpaceDN w:val="0"/>
        <w:adjustRightInd w:val="0"/>
        <w:snapToGrid w:val="0"/>
        <w:spacing w:before="81" w:line="219" w:lineRule="auto"/>
        <w:jc w:val="left"/>
        <w:textAlignment w:val="baseline"/>
        <w:rPr>
          <w:rFonts w:ascii="宋体" w:hAnsi="宋体" w:eastAsia="宋体" w:cs="宋体"/>
          <w:b/>
          <w:bCs/>
          <w:snapToGrid w:val="0"/>
          <w:color w:val="auto"/>
          <w:spacing w:val="5"/>
          <w:kern w:val="0"/>
          <w:sz w:val="25"/>
          <w:szCs w:val="25"/>
          <w:highlight w:val="none"/>
          <w:lang w:eastAsia="en-US"/>
        </w:rPr>
      </w:pPr>
      <w:r>
        <w:rPr>
          <w:rFonts w:ascii="宋体" w:hAnsi="宋体" w:eastAsia="宋体" w:cs="宋体"/>
          <w:b/>
          <w:bCs/>
          <w:snapToGrid w:val="0"/>
          <w:color w:val="auto"/>
          <w:spacing w:val="5"/>
          <w:kern w:val="0"/>
          <w:sz w:val="25"/>
          <w:szCs w:val="25"/>
          <w:highlight w:val="none"/>
          <w:lang w:eastAsia="en-US"/>
        </w:rPr>
        <w:t>注：本项目统一</w:t>
      </w:r>
      <w:r>
        <w:rPr>
          <w:rFonts w:hint="eastAsia" w:ascii="宋体" w:hAnsi="宋体" w:eastAsia="宋体" w:cs="宋体"/>
          <w:b/>
          <w:bCs/>
          <w:snapToGrid w:val="0"/>
          <w:color w:val="auto"/>
          <w:spacing w:val="5"/>
          <w:kern w:val="0"/>
          <w:sz w:val="25"/>
          <w:szCs w:val="25"/>
          <w:highlight w:val="none"/>
          <w:lang w:val="en-US" w:eastAsia="zh-CN"/>
        </w:rPr>
        <w:t>优惠</w:t>
      </w:r>
      <w:r>
        <w:rPr>
          <w:rFonts w:ascii="宋体" w:hAnsi="宋体" w:eastAsia="宋体" w:cs="宋体"/>
          <w:b/>
          <w:bCs/>
          <w:snapToGrid w:val="0"/>
          <w:color w:val="auto"/>
          <w:spacing w:val="5"/>
          <w:kern w:val="0"/>
          <w:sz w:val="25"/>
          <w:szCs w:val="25"/>
          <w:highlight w:val="none"/>
          <w:lang w:eastAsia="en-US"/>
        </w:rPr>
        <w:t>率为</w:t>
      </w:r>
      <w:r>
        <w:rPr>
          <w:rFonts w:hint="eastAsia" w:ascii="宋体" w:hAnsi="宋体" w:eastAsia="宋体" w:cs="宋体"/>
          <w:b/>
          <w:bCs/>
          <w:snapToGrid w:val="0"/>
          <w:color w:val="auto"/>
          <w:spacing w:val="5"/>
          <w:kern w:val="0"/>
          <w:sz w:val="25"/>
          <w:szCs w:val="25"/>
          <w:highlight w:val="none"/>
          <w:lang w:val="en-US" w:eastAsia="zh-CN"/>
        </w:rPr>
        <w:t>_____</w:t>
      </w:r>
      <w:r>
        <w:rPr>
          <w:rFonts w:ascii="宋体" w:hAnsi="宋体" w:eastAsia="宋体" w:cs="宋体"/>
          <w:b/>
          <w:bCs/>
          <w:snapToGrid w:val="0"/>
          <w:color w:val="auto"/>
          <w:spacing w:val="5"/>
          <w:kern w:val="0"/>
          <w:sz w:val="25"/>
          <w:szCs w:val="25"/>
          <w:highlight w:val="none"/>
          <w:lang w:eastAsia="en-US"/>
        </w:rPr>
        <w:t>%</w:t>
      </w:r>
    </w:p>
    <w:p w14:paraId="5670579D">
      <w:pPr>
        <w:rPr>
          <w:rFonts w:hint="eastAsia" w:asciiTheme="majorEastAsia" w:hAnsiTheme="majorEastAsia" w:eastAsiaTheme="majorEastAsia" w:cstheme="majorEastAsia"/>
          <w:color w:val="auto"/>
          <w:sz w:val="24"/>
          <w:szCs w:val="24"/>
          <w:highlight w:val="none"/>
          <w:lang w:eastAsia="zh-CN"/>
        </w:rPr>
      </w:pPr>
    </w:p>
    <w:p w14:paraId="75E10AF2">
      <w:pPr>
        <w:rPr>
          <w:rFonts w:hint="eastAsia"/>
          <w:color w:val="auto"/>
          <w:sz w:val="24"/>
          <w:szCs w:val="22"/>
          <w:highlight w:val="none"/>
        </w:rPr>
        <w:sectPr>
          <w:footerReference r:id="rId10" w:type="first"/>
          <w:footerReference r:id="rId9" w:type="default"/>
          <w:pgSz w:w="11907" w:h="16840"/>
          <w:pgMar w:top="1134" w:right="1565" w:bottom="1134" w:left="1576" w:header="567" w:footer="794" w:gutter="0"/>
          <w:cols w:space="1701" w:num="1"/>
          <w:titlePg/>
          <w:docGrid w:linePitch="360" w:charSpace="0"/>
        </w:sect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全文完</w:t>
      </w:r>
      <w:r>
        <w:rPr>
          <w:rFonts w:hint="eastAsia" w:asciiTheme="majorEastAsia" w:hAnsiTheme="majorEastAsia" w:eastAsiaTheme="majorEastAsia" w:cstheme="majorEastAsia"/>
          <w:color w:val="auto"/>
          <w:sz w:val="24"/>
          <w:szCs w:val="24"/>
          <w:highlight w:val="none"/>
          <w:lang w:eastAsia="zh-CN"/>
        </w:rPr>
        <w:t>）</w:t>
      </w:r>
    </w:p>
    <w:p w14:paraId="1A7D16E5">
      <w:pPr>
        <w:rPr>
          <w:rFonts w:hint="eastAsia" w:asciiTheme="majorEastAsia" w:hAnsiTheme="majorEastAsia" w:eastAsiaTheme="majorEastAsia" w:cstheme="majorEastAsia"/>
          <w:color w:val="auto"/>
          <w:sz w:val="24"/>
          <w:szCs w:val="24"/>
          <w:highlight w:val="none"/>
          <w:lang w:eastAsia="zh-CN"/>
        </w:rPr>
      </w:pPr>
    </w:p>
    <w:sectPr>
      <w:footerReference r:id="rId14" w:type="first"/>
      <w:headerReference r:id="rId11" w:type="default"/>
      <w:footerReference r:id="rId12" w:type="default"/>
      <w:footerReference r:id="rId13" w:type="even"/>
      <w:pgSz w:w="11907" w:h="16840"/>
      <w:pgMar w:top="1134" w:right="885" w:bottom="1134" w:left="1576" w:header="567" w:footer="794" w:gutter="0"/>
      <w:pgBorders>
        <w:top w:val="none" w:sz="0" w:space="0"/>
        <w:left w:val="none" w:sz="0" w:space="0"/>
        <w:bottom w:val="none" w:sz="0" w:space="0"/>
        <w:right w:val="none" w:sz="0" w:space="0"/>
      </w:pgBorders>
      <w:pgNumType w:fmt="decimal"/>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创艺简仿宋">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imes New Roman Regular">
    <w:altName w:val="Times New Roman"/>
    <w:panose1 w:val="02020603050405020304"/>
    <w:charset w:val="00"/>
    <w:family w:val="auto"/>
    <w:pitch w:val="default"/>
    <w:sig w:usb0="00000000" w:usb1="00000000" w:usb2="00000000" w:usb3="00000000" w:csb0="00000000" w:csb1="00000000"/>
  </w:font>
  <w:font w:name="Microsoft JhengHei">
    <w:panose1 w:val="020B0604030504040204"/>
    <w:charset w:val="88"/>
    <w:family w:val="auto"/>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2BFF1">
    <w:pPr>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3671570</wp:posOffset>
              </wp:positionH>
              <wp:positionV relativeFrom="page">
                <wp:posOffset>9921875</wp:posOffset>
              </wp:positionV>
              <wp:extent cx="160655" cy="1397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60655" cy="139700"/>
                      </a:xfrm>
                      <a:prstGeom prst="rect">
                        <a:avLst/>
                      </a:prstGeom>
                      <a:noFill/>
                      <a:ln>
                        <a:noFill/>
                      </a:ln>
                    </wps:spPr>
                    <wps:txbx>
                      <w:txbxContent>
                        <w:p w14:paraId="61450323">
                          <w:pPr>
                            <w:spacing w:line="204" w:lineRule="exact"/>
                            <w:ind w:left="20"/>
                            <w:jc w:val="left"/>
                            <w:rPr>
                              <w:rFonts w:ascii="Arial" w:hAnsi="Arial" w:eastAsia="Arial" w:cs="Arial"/>
                              <w:sz w:val="18"/>
                              <w:szCs w:val="18"/>
                            </w:rPr>
                          </w:pPr>
                        </w:p>
                      </w:txbxContent>
                    </wps:txbx>
                    <wps:bodyPr wrap="square" lIns="0" tIns="0" rIns="0" bIns="0" upright="1"/>
                  </wps:wsp>
                </a:graphicData>
              </a:graphic>
            </wp:anchor>
          </w:drawing>
        </mc:Choice>
        <mc:Fallback>
          <w:pict>
            <v:shape id="文本框 3" o:spid="_x0000_s1026" o:spt="202" type="#_x0000_t202" style="position:absolute;left:0pt;margin-left:289.1pt;margin-top:781.25pt;height:11pt;width:12.65pt;mso-position-horizontal-relative:page;mso-position-vertical-relative:page;z-index:-251657216;mso-width-relative:page;mso-height-relative:page;" filled="f" stroked="f" coordsize="21600,21600" o:gfxdata="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4gEB82wAAAA0BAAAPAAAAAAAAAAEAIAAAACIAAABkcnMvZG93&#10;bnJldi54bWxQSwECFAAUAAAACACHTuJADFEKLsQBAAB/AwAADgAAAAAAAAABACAAAAAqAQAAZHJz&#10;L2Uyb0RvYy54bWxQSwUGAAAAAAYABgBZAQAAYAUAAAAA&#10;">
              <v:fill on="f" focussize="0,0"/>
              <v:stroke on="f"/>
              <v:imagedata o:title=""/>
              <o:lock v:ext="edit" aspectratio="f"/>
              <v:textbox inset="0mm,0mm,0mm,0mm">
                <w:txbxContent>
                  <w:p w14:paraId="61450323">
                    <w:pPr>
                      <w:spacing w:line="204" w:lineRule="exact"/>
                      <w:ind w:left="20"/>
                      <w:jc w:val="left"/>
                      <w:rPr>
                        <w:rFonts w:ascii="Arial" w:hAnsi="Arial" w:eastAsia="Arial" w:cs="Arial"/>
                        <w:sz w:val="18"/>
                        <w:szCs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EBE2E">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98D32">
    <w:pPr>
      <w:widowControl/>
      <w:tabs>
        <w:tab w:val="left" w:pos="4350"/>
      </w:tabs>
      <w:kinsoku w:val="0"/>
      <w:autoSpaceDE w:val="0"/>
      <w:autoSpaceDN w:val="0"/>
      <w:adjustRightInd w:val="0"/>
      <w:snapToGrid w:val="0"/>
      <w:spacing w:before="1" w:line="159" w:lineRule="auto"/>
      <w:ind w:left="4524"/>
      <w:jc w:val="left"/>
      <w:textAlignment w:val="baseline"/>
      <w:rPr>
        <w:rFonts w:hint="eastAsia" w:ascii="Microsoft JhengHei" w:hAnsi="Microsoft JhengHei" w:eastAsia="宋体" w:cs="Microsoft JhengHei"/>
        <w:snapToGrid w:val="0"/>
        <w:color w:val="000000"/>
        <w:kern w:val="0"/>
        <w:sz w:val="18"/>
        <w:szCs w:val="18"/>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06A1F">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D906A1F">
                    <w:pPr>
                      <w:pStyle w:val="9"/>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ascii="Microsoft JhengHei" w:hAnsi="Microsoft JhengHei" w:eastAsia="宋体" w:cs="Microsoft JhengHei"/>
        <w:snapToGrid w:val="0"/>
        <w:color w:val="000000"/>
        <w:kern w:val="0"/>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207FD">
    <w:pPr>
      <w:widowControl/>
      <w:kinsoku w:val="0"/>
      <w:autoSpaceDE w:val="0"/>
      <w:autoSpaceDN w:val="0"/>
      <w:adjustRightInd w:val="0"/>
      <w:snapToGrid w:val="0"/>
      <w:spacing w:before="1" w:line="159" w:lineRule="auto"/>
      <w:ind w:left="6864"/>
      <w:jc w:val="left"/>
      <w:textAlignment w:val="baseline"/>
      <w:rPr>
        <w:rFonts w:ascii="Microsoft JhengHei" w:hAnsi="Microsoft JhengHei" w:eastAsia="Microsoft JhengHei" w:cs="Microsoft JhengHei"/>
        <w:snapToGrid w:val="0"/>
        <w:color w:val="000000"/>
        <w:kern w:val="0"/>
        <w:sz w:val="18"/>
        <w:szCs w:val="18"/>
        <w:lang w:eastAsia="en-US"/>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52746">
                          <w:pPr>
                            <w:pStyle w:val="9"/>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19752746">
                    <w:pPr>
                      <w:pStyle w:val="9"/>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53366">
    <w:pPr>
      <w:spacing w:line="14" w:lineRule="auto"/>
      <w:rPr>
        <w:sz w:val="20"/>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7BC00">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23C7BC00">
                    <w:pPr>
                      <w:pStyle w:val="9"/>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3671570</wp:posOffset>
              </wp:positionH>
              <wp:positionV relativeFrom="page">
                <wp:posOffset>9921875</wp:posOffset>
              </wp:positionV>
              <wp:extent cx="160655" cy="1397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60655" cy="139700"/>
                      </a:xfrm>
                      <a:prstGeom prst="rect">
                        <a:avLst/>
                      </a:prstGeom>
                      <a:noFill/>
                      <a:ln>
                        <a:noFill/>
                      </a:ln>
                    </wps:spPr>
                    <wps:txbx>
                      <w:txbxContent>
                        <w:p w14:paraId="3AE77D97">
                          <w:pPr>
                            <w:spacing w:line="204" w:lineRule="exact"/>
                            <w:ind w:left="20"/>
                            <w:jc w:val="left"/>
                            <w:rPr>
                              <w:rFonts w:ascii="Arial" w:hAnsi="Arial" w:eastAsia="Arial" w:cs="Arial"/>
                              <w:sz w:val="18"/>
                              <w:szCs w:val="18"/>
                            </w:rPr>
                          </w:pPr>
                        </w:p>
                      </w:txbxContent>
                    </wps:txbx>
                    <wps:bodyPr wrap="square" lIns="0" tIns="0" rIns="0" bIns="0" upright="1"/>
                  </wps:wsp>
                </a:graphicData>
              </a:graphic>
            </wp:anchor>
          </w:drawing>
        </mc:Choice>
        <mc:Fallback>
          <w:pict>
            <v:shape id="文本框 3" o:spid="_x0000_s1026" o:spt="202" type="#_x0000_t202" style="position:absolute;left:0pt;margin-left:289.1pt;margin-top:781.25pt;height:11pt;width:12.65pt;mso-position-horizontal-relative:page;mso-position-vertical-relative:page;z-index:-251655168;mso-width-relative:page;mso-height-relative:page;" filled="f" stroked="f" coordsize="21600,21600" o:gfxdata="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OIBAfNsAAAANAQAADwAAAAAAAAABACAAAAAiAAAAZHJzL2Rv&#10;d25yZXYueG1sUEsBAhQAFAAAAAgAh07iQLEiKmDFAQAAfwMAAA4AAAAAAAAAAQAgAAAAKgEAAGRy&#10;cy9lMm9Eb2MueG1sUEsFBgAAAAAGAAYAWQEAAGEFAAAAAA==&#10;">
              <v:fill on="f" focussize="0,0"/>
              <v:stroke on="f"/>
              <v:imagedata o:title=""/>
              <o:lock v:ext="edit" aspectratio="f"/>
              <v:textbox inset="0mm,0mm,0mm,0mm">
                <w:txbxContent>
                  <w:p w14:paraId="3AE77D97">
                    <w:pPr>
                      <w:spacing w:line="204" w:lineRule="exact"/>
                      <w:ind w:left="20"/>
                      <w:jc w:val="left"/>
                      <w:rPr>
                        <w:rFonts w:ascii="Arial" w:hAnsi="Arial" w:eastAsia="Arial" w:cs="Arial"/>
                        <w:sz w:val="18"/>
                        <w:szCs w:val="18"/>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278B2">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C5A91">
                          <w:pPr>
                            <w:pStyle w:val="9"/>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34EC5A91">
                    <w:pPr>
                      <w:pStyle w:val="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32984">
    <w:pPr>
      <w:widowControl w:val="0"/>
      <w:tabs>
        <w:tab w:val="center" w:pos="4153"/>
        <w:tab w:val="right" w:pos="8306"/>
      </w:tabs>
      <w:jc w:val="center"/>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fldChar w:fldCharType="begin"/>
    </w:r>
    <w:r>
      <w:rPr>
        <w:rFonts w:hint="default" w:ascii="Times New Roman" w:hAnsi="Times New Roman" w:eastAsia="宋体" w:cs="Times New Roman"/>
        <w:sz w:val="18"/>
        <w:lang w:val="en-US" w:eastAsia="zh-CN" w:bidi="ar-SA"/>
      </w:rPr>
      <w:instrText xml:space="preserve">PAGE   \* MERGEFORMAT</w:instrText>
    </w:r>
    <w:r>
      <w:rPr>
        <w:rFonts w:hint="default" w:ascii="Times New Roman" w:hAnsi="Times New Roman" w:eastAsia="宋体" w:cs="Times New Roman"/>
        <w:sz w:val="18"/>
        <w:lang w:val="en-US" w:eastAsia="zh-CN" w:bidi="ar-SA"/>
      </w:rPr>
      <w:fldChar w:fldCharType="separate"/>
    </w:r>
    <w:r>
      <w:rPr>
        <w:rFonts w:hint="default" w:ascii="Times New Roman" w:hAnsi="Times New Roman" w:eastAsia="宋体" w:cs="Times New Roman"/>
        <w:sz w:val="18"/>
        <w:lang w:val="zh-CN" w:eastAsia="zh-CN" w:bidi="ar-SA"/>
      </w:rPr>
      <w:t>57</w:t>
    </w:r>
    <w:r>
      <w:rPr>
        <w:rFonts w:hint="default" w:ascii="Times New Roman" w:hAnsi="Times New Roman" w:eastAsia="宋体" w:cs="Times New Roman"/>
        <w:sz w:val="18"/>
        <w:lang w:val="en-US" w:eastAsia="zh-CN" w:bidi="ar-SA"/>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EA95C">
    <w:pPr>
      <w:widowControl w:val="0"/>
      <w:tabs>
        <w:tab w:val="center" w:pos="4153"/>
        <w:tab w:val="right" w:pos="8306"/>
      </w:tabs>
      <w:jc w:val="center"/>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fldChar w:fldCharType="begin"/>
    </w:r>
    <w:r>
      <w:rPr>
        <w:rFonts w:hint="default" w:ascii="Times New Roman" w:hAnsi="Times New Roman" w:eastAsia="宋体" w:cs="Times New Roman"/>
        <w:sz w:val="18"/>
        <w:lang w:val="en-US" w:eastAsia="zh-CN" w:bidi="ar-SA"/>
      </w:rPr>
      <w:instrText xml:space="preserve"> PAGE   \* MERGEFORMAT </w:instrText>
    </w:r>
    <w:r>
      <w:rPr>
        <w:rFonts w:hint="default" w:ascii="Times New Roman" w:hAnsi="Times New Roman" w:eastAsia="宋体" w:cs="Times New Roman"/>
        <w:sz w:val="18"/>
        <w:lang w:val="en-US" w:eastAsia="zh-CN" w:bidi="ar-SA"/>
      </w:rPr>
      <w:fldChar w:fldCharType="separate"/>
    </w:r>
    <w:r>
      <w:rPr>
        <w:rFonts w:hint="default" w:ascii="Times New Roman" w:hAnsi="Times New Roman" w:eastAsia="宋体" w:cs="Times New Roman"/>
        <w:sz w:val="18"/>
        <w:lang w:val="zh-CN" w:eastAsia="zh-CN" w:bidi="ar-SA"/>
      </w:rPr>
      <w:t>52</w:t>
    </w:r>
    <w:r>
      <w:rPr>
        <w:rFonts w:hint="default" w:ascii="Times New Roman" w:hAnsi="Times New Roman" w:eastAsia="宋体" w:cs="Times New Roman"/>
        <w:sz w:val="18"/>
        <w:lang w:val="en-US" w:eastAsia="zh-CN" w:bidi="ar-SA"/>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B00EB">
    <w:pPr>
      <w:pStyle w:val="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46F65F">
                          <w:pPr>
                            <w:pStyle w:val="9"/>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7046F65F">
                    <w:pPr>
                      <w:pStyle w:val="9"/>
                    </w:pPr>
                    <w:r>
                      <w:fldChar w:fldCharType="begin"/>
                    </w:r>
                    <w:r>
                      <w:instrText xml:space="preserve"> PAGE  \* MERGEFORMAT </w:instrText>
                    </w:r>
                    <w:r>
                      <w:fldChar w:fldCharType="separate"/>
                    </w:r>
                    <w:r>
                      <w:t>29</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6744A4">
                          <w:pPr>
                            <w:pStyle w:val="9"/>
                            <w:jc w:val="center"/>
                          </w:pP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87BGcEBAACO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R4rjFiV9+/rj8+nP5/Z0s&#10;sz59gBrT7gMmpuGdHzB39gM6M+1BRZu/SIhgHNU9X9WVQyIiP1qv1usKQwJj8wXx2cPzECG9l96S&#10;bDQ04viKqvz0EdKYOqfkas7faWPKCI37x4GY2cNy72OP2UrDfpgI7X17Rj49Tr6hDhedEvPBobB5&#10;SWYjzsZ+MnINCLfHhIVLPxl1hJqK4ZgKo2ml8h48vpesh99o+x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M87BGcEBAACOAwAADgAAAAAAAAABACAAAAAeAQAAZHJzL2Uyb0RvYy54bWxQSwUG&#10;AAAAAAYABgBZAQAAUQUAAAAA&#10;">
              <v:fill on="f" focussize="0,0"/>
              <v:stroke on="f"/>
              <v:imagedata o:title=""/>
              <o:lock v:ext="edit" aspectratio="f"/>
              <v:textbox inset="0mm,0mm,0mm,0mm" style="mso-fit-shape-to-text:t;">
                <w:txbxContent>
                  <w:p w14:paraId="146744A4">
                    <w:pPr>
                      <w:pStyle w:val="9"/>
                      <w:jc w:val="cente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581BF">
    <w:pPr>
      <w:pStyle w:val="9"/>
      <w:framePr w:wrap="around" w:vAnchor="text" w:hAnchor="margin" w:xAlign="right" w:y="1"/>
      <w:rPr>
        <w:rStyle w:val="18"/>
      </w:rPr>
    </w:pPr>
    <w:r>
      <w:fldChar w:fldCharType="begin"/>
    </w:r>
    <w:r>
      <w:rPr>
        <w:rStyle w:val="18"/>
        <w:sz w:val="21"/>
      </w:rPr>
      <w:instrText xml:space="preserve">PAGE  </w:instrText>
    </w:r>
    <w:r>
      <w:fldChar w:fldCharType="separate"/>
    </w:r>
    <w:r>
      <w:rPr>
        <w:rStyle w:val="18"/>
        <w:sz w:val="21"/>
      </w:rPr>
      <w:t>16</w:t>
    </w:r>
    <w:r>
      <w:fldChar w:fldCharType="end"/>
    </w:r>
  </w:p>
  <w:p w14:paraId="6BEC0C5B">
    <w:pPr>
      <w:pStyle w:val="9"/>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F9563">
    <w:pPr>
      <w:pStyle w:val="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62F7E">
                          <w:pPr>
                            <w:pStyle w:val="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7CE62F7E">
                    <w:pPr>
                      <w:pStyle w:val="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BCE23">
    <w:pPr>
      <w:pStyle w:val="10"/>
      <w:rPr>
        <w:rFonts w:ascii="宋体" w:hAnsi="宋体"/>
        <w:color w:val="808080"/>
        <w:spacing w:val="6"/>
        <w:sz w:val="21"/>
      </w:rPr>
    </w:pPr>
    <w:r>
      <w:rPr>
        <w:rFonts w:hint="eastAsia" w:ascii="宋体" w:hAnsi="宋体"/>
        <w:bCs/>
        <w:color w:val="808080"/>
        <w:spacing w:val="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D1B2B0"/>
    <w:multiLevelType w:val="singleLevel"/>
    <w:tmpl w:val="AFD1B2B0"/>
    <w:lvl w:ilvl="0" w:tentative="0">
      <w:start w:val="2"/>
      <w:numFmt w:val="decimal"/>
      <w:lvlText w:val="%1."/>
      <w:lvlJc w:val="left"/>
      <w:pPr>
        <w:tabs>
          <w:tab w:val="left" w:pos="312"/>
        </w:tabs>
      </w:pPr>
    </w:lvl>
  </w:abstractNum>
  <w:abstractNum w:abstractNumId="1">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0511D89"/>
    <w:multiLevelType w:val="singleLevel"/>
    <w:tmpl w:val="C0511D89"/>
    <w:lvl w:ilvl="0" w:tentative="0">
      <w:start w:val="2"/>
      <w:numFmt w:val="decimal"/>
      <w:suff w:val="nothing"/>
      <w:lvlText w:val="%1、"/>
      <w:lvlJc w:val="left"/>
    </w:lvl>
  </w:abstractNum>
  <w:abstractNum w:abstractNumId="3">
    <w:nsid w:val="0053208E"/>
    <w:multiLevelType w:val="multilevel"/>
    <w:tmpl w:val="0053208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7D60351"/>
    <w:multiLevelType w:val="singleLevel"/>
    <w:tmpl w:val="07D60351"/>
    <w:lvl w:ilvl="0" w:tentative="0">
      <w:start w:val="36"/>
      <w:numFmt w:val="decimal"/>
      <w:lvlText w:val="%1."/>
      <w:lvlJc w:val="left"/>
      <w:pPr>
        <w:tabs>
          <w:tab w:val="left" w:pos="312"/>
        </w:tabs>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5D5679"/>
    <w:rsid w:val="00574B7A"/>
    <w:rsid w:val="007470CC"/>
    <w:rsid w:val="008C14FE"/>
    <w:rsid w:val="010F400E"/>
    <w:rsid w:val="0144464C"/>
    <w:rsid w:val="0192450A"/>
    <w:rsid w:val="01E274B5"/>
    <w:rsid w:val="01FF49C9"/>
    <w:rsid w:val="02197499"/>
    <w:rsid w:val="02707F17"/>
    <w:rsid w:val="02974E5F"/>
    <w:rsid w:val="02E13FA3"/>
    <w:rsid w:val="03045209"/>
    <w:rsid w:val="03250AC9"/>
    <w:rsid w:val="036E2742"/>
    <w:rsid w:val="037324D4"/>
    <w:rsid w:val="03D66BA6"/>
    <w:rsid w:val="042C18CE"/>
    <w:rsid w:val="046D6CE5"/>
    <w:rsid w:val="04D05CEB"/>
    <w:rsid w:val="04F419D9"/>
    <w:rsid w:val="05221FFF"/>
    <w:rsid w:val="05DB3FDB"/>
    <w:rsid w:val="060A6FDB"/>
    <w:rsid w:val="07070CE0"/>
    <w:rsid w:val="07312DBB"/>
    <w:rsid w:val="07941252"/>
    <w:rsid w:val="07DE1DEE"/>
    <w:rsid w:val="08057A5A"/>
    <w:rsid w:val="0822060B"/>
    <w:rsid w:val="08922B73"/>
    <w:rsid w:val="08DD2784"/>
    <w:rsid w:val="08F024B8"/>
    <w:rsid w:val="08F37FD5"/>
    <w:rsid w:val="098552F6"/>
    <w:rsid w:val="09CE4371"/>
    <w:rsid w:val="0A2D3298"/>
    <w:rsid w:val="0A886720"/>
    <w:rsid w:val="0AA13B7F"/>
    <w:rsid w:val="0B440899"/>
    <w:rsid w:val="0B6B051B"/>
    <w:rsid w:val="0B974E6D"/>
    <w:rsid w:val="0C670CE3"/>
    <w:rsid w:val="0C9475FE"/>
    <w:rsid w:val="0CA77331"/>
    <w:rsid w:val="0CC07278"/>
    <w:rsid w:val="0CC7776F"/>
    <w:rsid w:val="0D044784"/>
    <w:rsid w:val="0DA10224"/>
    <w:rsid w:val="0EBB7809"/>
    <w:rsid w:val="0F5A67F4"/>
    <w:rsid w:val="10857989"/>
    <w:rsid w:val="10BC5375"/>
    <w:rsid w:val="10E84C83"/>
    <w:rsid w:val="10F22B45"/>
    <w:rsid w:val="110034B4"/>
    <w:rsid w:val="11391D60"/>
    <w:rsid w:val="114F505F"/>
    <w:rsid w:val="126F4193"/>
    <w:rsid w:val="12E60189"/>
    <w:rsid w:val="138A5FE6"/>
    <w:rsid w:val="13B54A2A"/>
    <w:rsid w:val="14810D2C"/>
    <w:rsid w:val="14A30D26"/>
    <w:rsid w:val="14AA6509"/>
    <w:rsid w:val="14CF5677"/>
    <w:rsid w:val="14E12E73"/>
    <w:rsid w:val="157306F8"/>
    <w:rsid w:val="159B4065"/>
    <w:rsid w:val="15A959CF"/>
    <w:rsid w:val="15B368DA"/>
    <w:rsid w:val="16810BF3"/>
    <w:rsid w:val="16895CFA"/>
    <w:rsid w:val="16B2196E"/>
    <w:rsid w:val="16B965DF"/>
    <w:rsid w:val="16CF5ACB"/>
    <w:rsid w:val="16D708AF"/>
    <w:rsid w:val="17310BCA"/>
    <w:rsid w:val="1772678E"/>
    <w:rsid w:val="17E4768B"/>
    <w:rsid w:val="17F12F10"/>
    <w:rsid w:val="182C5FCC"/>
    <w:rsid w:val="183632BF"/>
    <w:rsid w:val="18413BC7"/>
    <w:rsid w:val="18460AE6"/>
    <w:rsid w:val="1865506A"/>
    <w:rsid w:val="18C4126B"/>
    <w:rsid w:val="191C143B"/>
    <w:rsid w:val="193467F8"/>
    <w:rsid w:val="19594170"/>
    <w:rsid w:val="196640D0"/>
    <w:rsid w:val="19A75624"/>
    <w:rsid w:val="19EE2A43"/>
    <w:rsid w:val="1A7E4C32"/>
    <w:rsid w:val="1AA2738A"/>
    <w:rsid w:val="1ABD41C4"/>
    <w:rsid w:val="1AD67034"/>
    <w:rsid w:val="1AEF625F"/>
    <w:rsid w:val="1AF51BB0"/>
    <w:rsid w:val="1B042617"/>
    <w:rsid w:val="1BEC278C"/>
    <w:rsid w:val="1C2D08BF"/>
    <w:rsid w:val="1C3C3C95"/>
    <w:rsid w:val="1C8036FB"/>
    <w:rsid w:val="1CD639DB"/>
    <w:rsid w:val="1D1A71AE"/>
    <w:rsid w:val="1D28626C"/>
    <w:rsid w:val="1D481109"/>
    <w:rsid w:val="1D730DF9"/>
    <w:rsid w:val="1DA11B7B"/>
    <w:rsid w:val="1DA2277D"/>
    <w:rsid w:val="1DBD025D"/>
    <w:rsid w:val="1E04013A"/>
    <w:rsid w:val="1E244D90"/>
    <w:rsid w:val="1E7B6870"/>
    <w:rsid w:val="1E7E16D1"/>
    <w:rsid w:val="1E9C40CB"/>
    <w:rsid w:val="1EB8717C"/>
    <w:rsid w:val="1EE066D3"/>
    <w:rsid w:val="1EF66BA2"/>
    <w:rsid w:val="1F3031B6"/>
    <w:rsid w:val="1F817EB6"/>
    <w:rsid w:val="1FBC2C9C"/>
    <w:rsid w:val="1FEA0867"/>
    <w:rsid w:val="1FFA7152"/>
    <w:rsid w:val="20497D01"/>
    <w:rsid w:val="214D0883"/>
    <w:rsid w:val="215B0293"/>
    <w:rsid w:val="215C4736"/>
    <w:rsid w:val="21723F5A"/>
    <w:rsid w:val="21731FC6"/>
    <w:rsid w:val="21747CD2"/>
    <w:rsid w:val="21B31E7D"/>
    <w:rsid w:val="21D56297"/>
    <w:rsid w:val="221A4B12"/>
    <w:rsid w:val="221E379A"/>
    <w:rsid w:val="222B097A"/>
    <w:rsid w:val="22426FD3"/>
    <w:rsid w:val="22456F79"/>
    <w:rsid w:val="22A00FB9"/>
    <w:rsid w:val="22CE1550"/>
    <w:rsid w:val="23231E41"/>
    <w:rsid w:val="23293977"/>
    <w:rsid w:val="234132C0"/>
    <w:rsid w:val="23827D58"/>
    <w:rsid w:val="23BC51DC"/>
    <w:rsid w:val="23BF1100"/>
    <w:rsid w:val="23CB7FDA"/>
    <w:rsid w:val="23DF2175"/>
    <w:rsid w:val="23DF51AB"/>
    <w:rsid w:val="241430A6"/>
    <w:rsid w:val="2454204B"/>
    <w:rsid w:val="248E4757"/>
    <w:rsid w:val="24A532D3"/>
    <w:rsid w:val="24D80578"/>
    <w:rsid w:val="2533755C"/>
    <w:rsid w:val="26AA324A"/>
    <w:rsid w:val="26B61130"/>
    <w:rsid w:val="26B775CF"/>
    <w:rsid w:val="26FF5F9D"/>
    <w:rsid w:val="272A6282"/>
    <w:rsid w:val="27457A1B"/>
    <w:rsid w:val="275F7F2B"/>
    <w:rsid w:val="27D3616E"/>
    <w:rsid w:val="27D760CD"/>
    <w:rsid w:val="281A2C55"/>
    <w:rsid w:val="285717B4"/>
    <w:rsid w:val="289E5635"/>
    <w:rsid w:val="28CE6601"/>
    <w:rsid w:val="291A315C"/>
    <w:rsid w:val="29A22F02"/>
    <w:rsid w:val="29F8727E"/>
    <w:rsid w:val="2A1B4F2C"/>
    <w:rsid w:val="2A44045E"/>
    <w:rsid w:val="2A930DCD"/>
    <w:rsid w:val="2AEF3F25"/>
    <w:rsid w:val="2B034261"/>
    <w:rsid w:val="2B1C6CE5"/>
    <w:rsid w:val="2B406E77"/>
    <w:rsid w:val="2B410712"/>
    <w:rsid w:val="2B566DA9"/>
    <w:rsid w:val="2BC730F4"/>
    <w:rsid w:val="2C504CF6"/>
    <w:rsid w:val="2C70463B"/>
    <w:rsid w:val="2C763172"/>
    <w:rsid w:val="2CF03F85"/>
    <w:rsid w:val="2CF35412"/>
    <w:rsid w:val="2D170DFB"/>
    <w:rsid w:val="2D276163"/>
    <w:rsid w:val="2D741833"/>
    <w:rsid w:val="2DB11966"/>
    <w:rsid w:val="2E5266BB"/>
    <w:rsid w:val="2E5B4FD2"/>
    <w:rsid w:val="2F133481"/>
    <w:rsid w:val="2F134449"/>
    <w:rsid w:val="2F2C0B1D"/>
    <w:rsid w:val="2F5559EA"/>
    <w:rsid w:val="2F5E78DC"/>
    <w:rsid w:val="2FDB0F1C"/>
    <w:rsid w:val="2FDB2CCA"/>
    <w:rsid w:val="30136048"/>
    <w:rsid w:val="302C5C1C"/>
    <w:rsid w:val="30662EDC"/>
    <w:rsid w:val="30AD6A75"/>
    <w:rsid w:val="314D30C9"/>
    <w:rsid w:val="314E691D"/>
    <w:rsid w:val="31F6028F"/>
    <w:rsid w:val="3223670C"/>
    <w:rsid w:val="333467A8"/>
    <w:rsid w:val="3368546C"/>
    <w:rsid w:val="33727E9B"/>
    <w:rsid w:val="337C27F4"/>
    <w:rsid w:val="33AF4C1E"/>
    <w:rsid w:val="33DC1B91"/>
    <w:rsid w:val="340D7B12"/>
    <w:rsid w:val="34A43FD3"/>
    <w:rsid w:val="34CC177B"/>
    <w:rsid w:val="34D92233"/>
    <w:rsid w:val="34DA3E98"/>
    <w:rsid w:val="34F82570"/>
    <w:rsid w:val="350A142E"/>
    <w:rsid w:val="35647C15"/>
    <w:rsid w:val="35780FBB"/>
    <w:rsid w:val="35A6440A"/>
    <w:rsid w:val="36954C07"/>
    <w:rsid w:val="372238D5"/>
    <w:rsid w:val="37321D6A"/>
    <w:rsid w:val="374455F9"/>
    <w:rsid w:val="376712E7"/>
    <w:rsid w:val="37692CB0"/>
    <w:rsid w:val="37A75B88"/>
    <w:rsid w:val="3823070E"/>
    <w:rsid w:val="388905CF"/>
    <w:rsid w:val="38975BFC"/>
    <w:rsid w:val="38F74B04"/>
    <w:rsid w:val="3902576C"/>
    <w:rsid w:val="3909044E"/>
    <w:rsid w:val="39A964D4"/>
    <w:rsid w:val="39C70C72"/>
    <w:rsid w:val="3A9C74FA"/>
    <w:rsid w:val="3AA36895"/>
    <w:rsid w:val="3AB96519"/>
    <w:rsid w:val="3AC1443A"/>
    <w:rsid w:val="3ACE7FFB"/>
    <w:rsid w:val="3B4262F3"/>
    <w:rsid w:val="3B4C0DB6"/>
    <w:rsid w:val="3B58732D"/>
    <w:rsid w:val="3B950658"/>
    <w:rsid w:val="3C9377CF"/>
    <w:rsid w:val="3CAA4B85"/>
    <w:rsid w:val="3D45293D"/>
    <w:rsid w:val="3D516CC2"/>
    <w:rsid w:val="3DB90AD0"/>
    <w:rsid w:val="3DD84CED"/>
    <w:rsid w:val="3E3B010A"/>
    <w:rsid w:val="3E725142"/>
    <w:rsid w:val="3E930797"/>
    <w:rsid w:val="3EFE4835"/>
    <w:rsid w:val="3F2B647F"/>
    <w:rsid w:val="3F982986"/>
    <w:rsid w:val="40AA253D"/>
    <w:rsid w:val="40C90CF4"/>
    <w:rsid w:val="40E63BC5"/>
    <w:rsid w:val="40FC00DE"/>
    <w:rsid w:val="416A65A4"/>
    <w:rsid w:val="421502BE"/>
    <w:rsid w:val="42497F67"/>
    <w:rsid w:val="42A96C58"/>
    <w:rsid w:val="42E27F91"/>
    <w:rsid w:val="43056584"/>
    <w:rsid w:val="431B1F06"/>
    <w:rsid w:val="435D5679"/>
    <w:rsid w:val="437C436D"/>
    <w:rsid w:val="43D917BF"/>
    <w:rsid w:val="44D40909"/>
    <w:rsid w:val="450A2511"/>
    <w:rsid w:val="45B55914"/>
    <w:rsid w:val="45B7168C"/>
    <w:rsid w:val="45E71F71"/>
    <w:rsid w:val="45F96148"/>
    <w:rsid w:val="461B60BF"/>
    <w:rsid w:val="4645313C"/>
    <w:rsid w:val="46CE1765"/>
    <w:rsid w:val="46DA7D28"/>
    <w:rsid w:val="46DC530D"/>
    <w:rsid w:val="47AD0F98"/>
    <w:rsid w:val="47E72F8F"/>
    <w:rsid w:val="48A30A1A"/>
    <w:rsid w:val="48DA5DBD"/>
    <w:rsid w:val="4929464F"/>
    <w:rsid w:val="493523FA"/>
    <w:rsid w:val="49B54E1B"/>
    <w:rsid w:val="49C42FEC"/>
    <w:rsid w:val="4A1E3175"/>
    <w:rsid w:val="4A2F11ED"/>
    <w:rsid w:val="4AC00FE3"/>
    <w:rsid w:val="4BAA1289"/>
    <w:rsid w:val="4C28128E"/>
    <w:rsid w:val="4CC50B32"/>
    <w:rsid w:val="4CF03E01"/>
    <w:rsid w:val="4CFD78FD"/>
    <w:rsid w:val="4D0F1621"/>
    <w:rsid w:val="4D1F46E6"/>
    <w:rsid w:val="4D4D1254"/>
    <w:rsid w:val="4DE84AD8"/>
    <w:rsid w:val="4E86609F"/>
    <w:rsid w:val="4EC820CD"/>
    <w:rsid w:val="4ED80DF5"/>
    <w:rsid w:val="4EE72FE2"/>
    <w:rsid w:val="4EF15C0F"/>
    <w:rsid w:val="4FB661FE"/>
    <w:rsid w:val="4FDD1AD8"/>
    <w:rsid w:val="50667122"/>
    <w:rsid w:val="506708F8"/>
    <w:rsid w:val="506F7733"/>
    <w:rsid w:val="51350538"/>
    <w:rsid w:val="51C70EA9"/>
    <w:rsid w:val="51E5151C"/>
    <w:rsid w:val="520774F7"/>
    <w:rsid w:val="524B7D2C"/>
    <w:rsid w:val="525748B4"/>
    <w:rsid w:val="52CC6B7E"/>
    <w:rsid w:val="52CF2B92"/>
    <w:rsid w:val="530625F0"/>
    <w:rsid w:val="53590FC7"/>
    <w:rsid w:val="53B749F4"/>
    <w:rsid w:val="53C102A5"/>
    <w:rsid w:val="53D7279A"/>
    <w:rsid w:val="53F006E8"/>
    <w:rsid w:val="54007CFB"/>
    <w:rsid w:val="54751090"/>
    <w:rsid w:val="5486105E"/>
    <w:rsid w:val="54B55930"/>
    <w:rsid w:val="54EB4A3B"/>
    <w:rsid w:val="54F564BC"/>
    <w:rsid w:val="55052414"/>
    <w:rsid w:val="553318CB"/>
    <w:rsid w:val="556B6EC3"/>
    <w:rsid w:val="559B68D4"/>
    <w:rsid w:val="55AE6607"/>
    <w:rsid w:val="565C5478"/>
    <w:rsid w:val="567D05FB"/>
    <w:rsid w:val="568455BA"/>
    <w:rsid w:val="56B934B6"/>
    <w:rsid w:val="571B7CCD"/>
    <w:rsid w:val="57222B83"/>
    <w:rsid w:val="582B03E3"/>
    <w:rsid w:val="591666E5"/>
    <w:rsid w:val="59374B66"/>
    <w:rsid w:val="595474C6"/>
    <w:rsid w:val="59637709"/>
    <w:rsid w:val="5971703E"/>
    <w:rsid w:val="597F7423"/>
    <w:rsid w:val="59886CC8"/>
    <w:rsid w:val="598D68D5"/>
    <w:rsid w:val="59A9160F"/>
    <w:rsid w:val="59D67A6F"/>
    <w:rsid w:val="5B2130BD"/>
    <w:rsid w:val="5B4A6DD2"/>
    <w:rsid w:val="5BAF4A97"/>
    <w:rsid w:val="5CB1614F"/>
    <w:rsid w:val="5CD34BA6"/>
    <w:rsid w:val="5CE64E0F"/>
    <w:rsid w:val="5D046451"/>
    <w:rsid w:val="5D2C2A54"/>
    <w:rsid w:val="5D977CB3"/>
    <w:rsid w:val="5DA56542"/>
    <w:rsid w:val="5DC37360"/>
    <w:rsid w:val="5E4775F9"/>
    <w:rsid w:val="5E695530"/>
    <w:rsid w:val="5F685A79"/>
    <w:rsid w:val="5F9C3975"/>
    <w:rsid w:val="5FF11F12"/>
    <w:rsid w:val="6001000E"/>
    <w:rsid w:val="602C7AE8"/>
    <w:rsid w:val="602F17E7"/>
    <w:rsid w:val="60683399"/>
    <w:rsid w:val="609D0497"/>
    <w:rsid w:val="60A24FBB"/>
    <w:rsid w:val="60A96349"/>
    <w:rsid w:val="60C06560"/>
    <w:rsid w:val="61377DF9"/>
    <w:rsid w:val="616502B4"/>
    <w:rsid w:val="61834DEC"/>
    <w:rsid w:val="61A15272"/>
    <w:rsid w:val="61CB6793"/>
    <w:rsid w:val="623411E2"/>
    <w:rsid w:val="626A7D5A"/>
    <w:rsid w:val="626F35C2"/>
    <w:rsid w:val="6291178B"/>
    <w:rsid w:val="62A24E62"/>
    <w:rsid w:val="62C933D5"/>
    <w:rsid w:val="630C72F6"/>
    <w:rsid w:val="63195DA0"/>
    <w:rsid w:val="63583629"/>
    <w:rsid w:val="635C5913"/>
    <w:rsid w:val="636A0332"/>
    <w:rsid w:val="63827325"/>
    <w:rsid w:val="63B113A1"/>
    <w:rsid w:val="63CE5457"/>
    <w:rsid w:val="63E87188"/>
    <w:rsid w:val="63E97911"/>
    <w:rsid w:val="63EC01F2"/>
    <w:rsid w:val="63F60B61"/>
    <w:rsid w:val="643C5458"/>
    <w:rsid w:val="64487041"/>
    <w:rsid w:val="64490689"/>
    <w:rsid w:val="64EF25B4"/>
    <w:rsid w:val="6590635A"/>
    <w:rsid w:val="65AD68DC"/>
    <w:rsid w:val="65CE4FA7"/>
    <w:rsid w:val="65E5220A"/>
    <w:rsid w:val="6704102E"/>
    <w:rsid w:val="67851192"/>
    <w:rsid w:val="67BD26DA"/>
    <w:rsid w:val="67F03D35"/>
    <w:rsid w:val="68273FF7"/>
    <w:rsid w:val="68D0643D"/>
    <w:rsid w:val="692375DC"/>
    <w:rsid w:val="695A0B28"/>
    <w:rsid w:val="69E76134"/>
    <w:rsid w:val="6A1A12BA"/>
    <w:rsid w:val="6A32716F"/>
    <w:rsid w:val="6A5E3620"/>
    <w:rsid w:val="6A7F1072"/>
    <w:rsid w:val="6AA61BD5"/>
    <w:rsid w:val="6B4227D3"/>
    <w:rsid w:val="6B4F1269"/>
    <w:rsid w:val="6B5E51CE"/>
    <w:rsid w:val="6BB52D67"/>
    <w:rsid w:val="6BC07C08"/>
    <w:rsid w:val="6C204938"/>
    <w:rsid w:val="6C88141A"/>
    <w:rsid w:val="6C9858E3"/>
    <w:rsid w:val="6CD05173"/>
    <w:rsid w:val="6CF6233D"/>
    <w:rsid w:val="6D556943"/>
    <w:rsid w:val="6D850954"/>
    <w:rsid w:val="6DD34E17"/>
    <w:rsid w:val="6E5E554C"/>
    <w:rsid w:val="6E753D0F"/>
    <w:rsid w:val="6EFF6FDB"/>
    <w:rsid w:val="6F18123A"/>
    <w:rsid w:val="6F1B7540"/>
    <w:rsid w:val="6F1E7A07"/>
    <w:rsid w:val="6F771D08"/>
    <w:rsid w:val="6F8306AD"/>
    <w:rsid w:val="6FA0053A"/>
    <w:rsid w:val="6FB82179"/>
    <w:rsid w:val="6FBE6451"/>
    <w:rsid w:val="700C2451"/>
    <w:rsid w:val="70291255"/>
    <w:rsid w:val="70475048"/>
    <w:rsid w:val="70912AA3"/>
    <w:rsid w:val="70D72A5F"/>
    <w:rsid w:val="712C417C"/>
    <w:rsid w:val="714A1C1F"/>
    <w:rsid w:val="7187244B"/>
    <w:rsid w:val="71DD152F"/>
    <w:rsid w:val="7238752D"/>
    <w:rsid w:val="72800ED4"/>
    <w:rsid w:val="728E539F"/>
    <w:rsid w:val="72A94ED8"/>
    <w:rsid w:val="72B52657"/>
    <w:rsid w:val="72C37AB1"/>
    <w:rsid w:val="72FC13BD"/>
    <w:rsid w:val="732B5DF0"/>
    <w:rsid w:val="73560172"/>
    <w:rsid w:val="73A15EBB"/>
    <w:rsid w:val="73FE3590"/>
    <w:rsid w:val="748D30FC"/>
    <w:rsid w:val="74D539E8"/>
    <w:rsid w:val="74E92E54"/>
    <w:rsid w:val="755C79D6"/>
    <w:rsid w:val="76C1645A"/>
    <w:rsid w:val="77500583"/>
    <w:rsid w:val="77F724F0"/>
    <w:rsid w:val="78981BAF"/>
    <w:rsid w:val="791D747D"/>
    <w:rsid w:val="7949417E"/>
    <w:rsid w:val="794964C4"/>
    <w:rsid w:val="7950014D"/>
    <w:rsid w:val="79AB401E"/>
    <w:rsid w:val="7AA05E06"/>
    <w:rsid w:val="7AC67CBE"/>
    <w:rsid w:val="7ACB3889"/>
    <w:rsid w:val="7B693F60"/>
    <w:rsid w:val="7B85624D"/>
    <w:rsid w:val="7BB31CB4"/>
    <w:rsid w:val="7BBC11CF"/>
    <w:rsid w:val="7BF73FB5"/>
    <w:rsid w:val="7C5A4544"/>
    <w:rsid w:val="7CBE4AD3"/>
    <w:rsid w:val="7CBF001E"/>
    <w:rsid w:val="7CEE7F3B"/>
    <w:rsid w:val="7D52089B"/>
    <w:rsid w:val="7D8A32D4"/>
    <w:rsid w:val="7DA44071"/>
    <w:rsid w:val="7E3C2153"/>
    <w:rsid w:val="7E510584"/>
    <w:rsid w:val="7E9A7FD4"/>
    <w:rsid w:val="7F2C666B"/>
    <w:rsid w:val="7F4D4C15"/>
    <w:rsid w:val="7F4F235A"/>
    <w:rsid w:val="7FD717A8"/>
    <w:rsid w:val="7FDB5374"/>
    <w:rsid w:val="7FE26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3">
    <w:name w:val="Normal Indent"/>
    <w:next w:val="1"/>
    <w:qFormat/>
    <w:uiPriority w:val="0"/>
    <w:pPr>
      <w:widowControl w:val="0"/>
      <w:ind w:firstLine="420"/>
      <w:jc w:val="both"/>
    </w:pPr>
    <w:rPr>
      <w:rFonts w:ascii="Times New Roman" w:hAnsi="Times New Roman" w:eastAsia="宋体" w:cs="Times New Roman"/>
      <w:kern w:val="2"/>
      <w:sz w:val="21"/>
      <w:lang w:val="en-US" w:eastAsia="zh-CN" w:bidi="ar-SA"/>
    </w:rPr>
  </w:style>
  <w:style w:type="paragraph" w:styleId="4">
    <w:name w:val="Document Map"/>
    <w:next w:val="5"/>
    <w:qFormat/>
    <w:uiPriority w:val="0"/>
    <w:pPr>
      <w:widowControl w:val="0"/>
      <w:jc w:val="both"/>
    </w:pPr>
    <w:rPr>
      <w:rFonts w:ascii="Times New Roman" w:hAnsi="Times New Roman" w:eastAsia="宋体" w:cs="Times New Roman"/>
      <w:kern w:val="2"/>
      <w:sz w:val="21"/>
      <w:lang w:val="en-US" w:eastAsia="zh-CN" w:bidi="ar-SA"/>
    </w:rPr>
  </w:style>
  <w:style w:type="paragraph" w:styleId="5">
    <w:name w:val="Plain Text"/>
    <w:qFormat/>
    <w:uiPriority w:val="0"/>
    <w:pPr>
      <w:widowControl w:val="0"/>
      <w:jc w:val="both"/>
    </w:pPr>
    <w:rPr>
      <w:rFonts w:ascii="宋体" w:hAnsi="Courier New" w:eastAsia="宋体" w:cs="Times New Roman"/>
      <w:kern w:val="2"/>
      <w:sz w:val="21"/>
      <w:lang w:val="en-US" w:eastAsia="zh-CN" w:bidi="ar-SA"/>
    </w:rPr>
  </w:style>
  <w:style w:type="paragraph" w:styleId="6">
    <w:name w:val="Body Text"/>
    <w:qFormat/>
    <w:uiPriority w:val="0"/>
    <w:pPr>
      <w:widowControl w:val="0"/>
      <w:jc w:val="both"/>
    </w:pPr>
    <w:rPr>
      <w:rFonts w:ascii="楷体_GB2312" w:hAnsi="Arial" w:eastAsia="楷体_GB2312" w:cs="Times New Roman"/>
      <w:kern w:val="2"/>
      <w:sz w:val="28"/>
      <w:lang w:val="en-US" w:eastAsia="zh-CN" w:bidi="ar-SA"/>
    </w:rPr>
  </w:style>
  <w:style w:type="paragraph" w:styleId="7">
    <w:name w:val="Body Text Indent"/>
    <w:next w:val="8"/>
    <w:qFormat/>
    <w:uiPriority w:val="99"/>
    <w:pPr>
      <w:widowControl w:val="0"/>
      <w:adjustRightInd w:val="0"/>
      <w:spacing w:line="312" w:lineRule="atLeast"/>
      <w:ind w:firstLine="574"/>
      <w:jc w:val="both"/>
      <w:textAlignment w:val="baseline"/>
    </w:pPr>
    <w:rPr>
      <w:rFonts w:ascii="宋体" w:hAnsi="Times New Roman" w:eastAsia="宋体" w:cs="Times New Roman"/>
      <w:kern w:val="0"/>
      <w:sz w:val="28"/>
      <w:lang w:val="en-US" w:eastAsia="zh-CN" w:bidi="ar-SA"/>
    </w:rPr>
  </w:style>
  <w:style w:type="paragraph" w:styleId="8">
    <w:name w:val="envelope return"/>
    <w:qFormat/>
    <w:uiPriority w:val="0"/>
    <w:pPr>
      <w:widowControl w:val="0"/>
      <w:snapToGrid w:val="0"/>
      <w:jc w:val="both"/>
    </w:pPr>
    <w:rPr>
      <w:rFonts w:ascii="Arial" w:hAnsi="Arial" w:eastAsiaTheme="minorEastAsia" w:cstheme="minorBidi"/>
      <w:kern w:val="2"/>
      <w:sz w:val="21"/>
      <w:szCs w:val="24"/>
      <w:lang w:val="en-US" w:eastAsia="zh-CN" w:bidi="ar-SA"/>
    </w:rPr>
  </w:style>
  <w:style w:type="paragraph" w:styleId="9">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lang w:val="en-US" w:eastAsia="zh-CN" w:bidi="ar-SA"/>
    </w:rPr>
  </w:style>
  <w:style w:type="paragraph" w:styleId="10">
    <w:name w:val="header"/>
    <w:next w:val="1"/>
    <w:qFormat/>
    <w:uiPriority w:val="99"/>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lang w:val="en-US" w:eastAsia="zh-CN" w:bidi="ar-SA"/>
    </w:rPr>
  </w:style>
  <w:style w:type="paragraph" w:styleId="11">
    <w:name w:val="HTML Preformatt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Times New Roman"/>
      <w:kern w:val="0"/>
      <w:sz w:val="20"/>
      <w:szCs w:val="24"/>
      <w:lang w:val="en-US" w:eastAsia="zh-CN" w:bidi="ar-SA"/>
    </w:rPr>
  </w:style>
  <w:style w:type="paragraph" w:styleId="12">
    <w:name w:val="Normal (Web)"/>
    <w:unhideWhenUsed/>
    <w:qFormat/>
    <w:uiPriority w:val="99"/>
    <w:pPr>
      <w:widowControl/>
      <w:spacing w:before="100" w:beforeAutospacing="1" w:after="100" w:afterAutospacing="1"/>
      <w:jc w:val="left"/>
    </w:pPr>
    <w:rPr>
      <w:rFonts w:ascii="宋体" w:hAnsi="宋体" w:eastAsia="楷体_GB2312" w:cs="宋体"/>
      <w:kern w:val="0"/>
      <w:sz w:val="24"/>
      <w:lang w:val="en-US" w:eastAsia="zh-CN" w:bidi="ar-SA"/>
    </w:rPr>
  </w:style>
  <w:style w:type="paragraph" w:styleId="13">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4">
    <w:name w:val="Body Text First Indent 2"/>
    <w:qFormat/>
    <w:uiPriority w:val="99"/>
    <w:pPr>
      <w:widowControl w:val="0"/>
      <w:adjustRightInd w:val="0"/>
      <w:spacing w:line="312" w:lineRule="atLeast"/>
      <w:ind w:firstLine="420" w:firstLineChars="200"/>
      <w:jc w:val="both"/>
      <w:textAlignment w:val="baseline"/>
    </w:pPr>
    <w:rPr>
      <w:rFonts w:ascii="宋体" w:hAnsi="Times New Roman" w:eastAsia="宋体" w:cs="Times New Roman"/>
      <w:kern w:val="0"/>
      <w:sz w:val="28"/>
      <w:lang w:val="en-US" w:eastAsia="zh-CN" w:bidi="ar-SA"/>
    </w:rPr>
  </w:style>
  <w:style w:type="character" w:styleId="17">
    <w:name w:val="Strong"/>
    <w:basedOn w:val="16"/>
    <w:qFormat/>
    <w:uiPriority w:val="0"/>
    <w:rPr>
      <w:b/>
    </w:rPr>
  </w:style>
  <w:style w:type="character" w:styleId="18">
    <w:name w:val="page number"/>
    <w:qFormat/>
    <w:uiPriority w:val="99"/>
  </w:style>
  <w:style w:type="character" w:styleId="19">
    <w:name w:val="Emphasis"/>
    <w:basedOn w:val="16"/>
    <w:qFormat/>
    <w:uiPriority w:val="0"/>
    <w:rPr>
      <w:i/>
    </w:rPr>
  </w:style>
  <w:style w:type="character" w:styleId="20">
    <w:name w:val="Hyperlink"/>
    <w:qFormat/>
    <w:uiPriority w:val="0"/>
    <w:rPr>
      <w:color w:val="0000FF"/>
      <w:u w:val="single"/>
    </w:rPr>
  </w:style>
  <w:style w:type="paragraph" w:customStyle="1" w:styleId="2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2">
    <w:name w:val="纯文本1"/>
    <w:qFormat/>
    <w:uiPriority w:val="0"/>
    <w:pPr>
      <w:widowControl w:val="0"/>
      <w:adjustRightInd w:val="0"/>
      <w:jc w:val="both"/>
      <w:textAlignment w:val="baseline"/>
    </w:pPr>
    <w:rPr>
      <w:rFonts w:ascii="宋体" w:hAnsi="Courier New" w:eastAsia="楷体_GB2312" w:cs="Times New Roman"/>
      <w:kern w:val="2"/>
      <w:sz w:val="26"/>
      <w:lang w:val="en-US" w:eastAsia="zh-CN" w:bidi="ar-SA"/>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纯文本2"/>
    <w:qFormat/>
    <w:uiPriority w:val="0"/>
    <w:pPr>
      <w:widowControl w:val="0"/>
      <w:adjustRightInd w:val="0"/>
      <w:jc w:val="both"/>
      <w:textAlignment w:val="baseline"/>
    </w:pPr>
    <w:rPr>
      <w:rFonts w:ascii="宋体" w:hAnsi="Courier New" w:eastAsia="楷体_GB2312" w:cs="Times New Roman"/>
      <w:kern w:val="2"/>
      <w:sz w:val="26"/>
      <w:lang w:val="en-US" w:eastAsia="zh-CN" w:bidi="ar-SA"/>
    </w:rPr>
  </w:style>
  <w:style w:type="paragraph" w:customStyle="1" w:styleId="25">
    <w:name w:val="纯文本21"/>
    <w:qFormat/>
    <w:uiPriority w:val="0"/>
    <w:pPr>
      <w:widowControl w:val="0"/>
      <w:adjustRightInd w:val="0"/>
      <w:jc w:val="both"/>
      <w:textAlignment w:val="baseline"/>
    </w:pPr>
    <w:rPr>
      <w:rFonts w:ascii="宋体" w:hAnsi="Courier New" w:eastAsia="楷体_GB2312" w:cs="Times New Roman"/>
      <w:kern w:val="2"/>
      <w:sz w:val="26"/>
      <w:lang w:val="en-US" w:eastAsia="zh-CN" w:bidi="ar-SA"/>
    </w:rPr>
  </w:style>
  <w:style w:type="paragraph" w:customStyle="1" w:styleId="26">
    <w:name w:val="首行缩进"/>
    <w:qFormat/>
    <w:uiPriority w:val="0"/>
    <w:pPr>
      <w:widowControl w:val="0"/>
      <w:spacing w:line="360" w:lineRule="auto"/>
      <w:ind w:firstLine="480"/>
      <w:jc w:val="left"/>
    </w:pPr>
    <w:rPr>
      <w:rFonts w:hint="default" w:ascii="宋体" w:hAnsi="宋体" w:eastAsia="宋体" w:cs="Times New Roman"/>
      <w:sz w:val="24"/>
      <w:szCs w:val="24"/>
      <w:lang w:val="en-US" w:eastAsia="zh-CN" w:bidi="ar-SA"/>
    </w:rPr>
  </w:style>
  <w:style w:type="character" w:customStyle="1" w:styleId="27">
    <w:name w:val="font01"/>
    <w:basedOn w:val="16"/>
    <w:qFormat/>
    <w:uiPriority w:val="0"/>
    <w:rPr>
      <w:rFonts w:hint="eastAsia" w:ascii="宋体" w:hAnsi="宋体" w:eastAsia="宋体" w:cs="宋体"/>
      <w:color w:val="000000"/>
      <w:sz w:val="24"/>
      <w:szCs w:val="24"/>
      <w:u w:val="none"/>
    </w:rPr>
  </w:style>
  <w:style w:type="paragraph" w:customStyle="1" w:styleId="28">
    <w:name w:val="Normal_0_0_0_0"/>
    <w:qFormat/>
    <w:uiPriority w:val="0"/>
    <w:rPr>
      <w:rFonts w:hint="default" w:ascii="Times New Roman" w:hAnsi="Times New Roman" w:eastAsia="Times New Roman" w:cs="Times New Roman"/>
      <w:sz w:val="24"/>
      <w:szCs w:val="24"/>
    </w:rPr>
  </w:style>
  <w:style w:type="character" w:customStyle="1" w:styleId="29">
    <w:name w:val="fontstyle01"/>
    <w:qFormat/>
    <w:uiPriority w:val="0"/>
    <w:rPr>
      <w:rFonts w:hint="eastAsia" w:ascii="宋体" w:hAnsi="宋体" w:eastAsia="宋体"/>
      <w:color w:val="000000"/>
      <w:sz w:val="24"/>
      <w:szCs w:val="24"/>
    </w:rPr>
  </w:style>
  <w:style w:type="paragraph" w:customStyle="1" w:styleId="30">
    <w:name w:val="Normal_0_3"/>
    <w:qFormat/>
    <w:uiPriority w:val="0"/>
    <w:rPr>
      <w:rFonts w:hint="default" w:ascii="Times New Roman" w:hAnsi="Times New Roman" w:eastAsia="Times New Roman" w:cs="Times New Roman"/>
      <w:sz w:val="24"/>
      <w:szCs w:val="24"/>
    </w:rPr>
  </w:style>
  <w:style w:type="paragraph" w:styleId="31">
    <w:name w:val="List Paragraph"/>
    <w:qFormat/>
    <w:uiPriority w:val="34"/>
    <w:pPr>
      <w:widowControl w:val="0"/>
      <w:ind w:firstLine="420" w:firstLineChars="200"/>
      <w:jc w:val="both"/>
    </w:pPr>
    <w:rPr>
      <w:rFonts w:ascii="Times New Roman" w:hAnsi="Times New Roman" w:eastAsia="宋体" w:cs="Times New Roman"/>
      <w:kern w:val="2"/>
      <w:sz w:val="21"/>
      <w:lang w:val="en-US" w:eastAsia="zh-CN" w:bidi="ar-SA"/>
    </w:rPr>
  </w:style>
  <w:style w:type="paragraph" w:customStyle="1" w:styleId="32">
    <w:name w:val="纯文本5"/>
    <w:qFormat/>
    <w:uiPriority w:val="0"/>
    <w:pPr>
      <w:widowControl w:val="0"/>
      <w:adjustRightInd w:val="0"/>
      <w:jc w:val="both"/>
      <w:textAlignment w:val="baseline"/>
    </w:pPr>
    <w:rPr>
      <w:rFonts w:ascii="宋体" w:hAnsi="Courier New" w:eastAsia="楷体_GB2312" w:cs="Times New Roman"/>
      <w:kern w:val="2"/>
      <w:sz w:val="26"/>
      <w:lang w:val="en-US" w:eastAsia="zh-CN" w:bidi="ar-SA"/>
    </w:rPr>
  </w:style>
  <w:style w:type="character" w:customStyle="1" w:styleId="33">
    <w:name w:val="默认段落字体12"/>
    <w:link w:val="1"/>
    <w:unhideWhenUsed/>
    <w:qFormat/>
    <w:uiPriority w:val="1"/>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header" Target="header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15119</Words>
  <Characters>16407</Characters>
  <Lines>0</Lines>
  <Paragraphs>0</Paragraphs>
  <TotalTime>0</TotalTime>
  <ScaleCrop>false</ScaleCrop>
  <LinksUpToDate>false</LinksUpToDate>
  <CharactersWithSpaces>16627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2025-05-14T04:01:00Z</dcterms:created>
  <dc:creator>徐艳</dc:creator>
  <cp:lastModifiedBy>徐艳</cp:lastModifiedBy>
  <cp:lastPrinted>2025-05-29T14:01:00Z</cp:lastPrinted>
  <dcterms:modified xsi:type="dcterms:W3CDTF">2026-01-12T02:18:30Z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93742CE1CA6D414D8BA57E786B363E74_13</vt:lpwstr>
  </property>
  <property fmtid="{D5CDD505-2E9C-101B-9397-08002B2CF9AE}" pid="4" name="KSOTemplateDocerSaveRecord">
    <vt:lpwstr>eyJoZGlkIjoiYzZlZDdmZTRmNjUwZjEyMGEzMmE5NzI1ZDc2YWVmYjkiLCJ1c2VySWQiOiIxMzYyMTA1MDc4In0=</vt:lpwstr>
  </property>
</Properties>
</file>